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601" w:type="dxa"/>
        <w:tblLook w:val="04A0" w:firstRow="1" w:lastRow="0" w:firstColumn="1" w:lastColumn="0" w:noHBand="0" w:noVBand="1"/>
      </w:tblPr>
      <w:tblGrid>
        <w:gridCol w:w="1702"/>
        <w:gridCol w:w="8646"/>
      </w:tblGrid>
      <w:tr w:rsidR="00C70B7A" w:rsidRPr="00C70B7A" w:rsidTr="00333C14">
        <w:tc>
          <w:tcPr>
            <w:tcW w:w="1702" w:type="dxa"/>
            <w:tcBorders>
              <w:top w:val="nil"/>
              <w:left w:val="nil"/>
              <w:bottom w:val="single" w:sz="4" w:space="0" w:color="auto"/>
              <w:right w:val="nil"/>
            </w:tcBorders>
          </w:tcPr>
          <w:p w:rsidR="00C70B7A" w:rsidRPr="00C70B7A" w:rsidRDefault="00C70B7A" w:rsidP="00D9315F">
            <w:pPr>
              <w:rPr>
                <w:rFonts w:ascii="Calibri" w:hAnsi="Calibri"/>
                <w:b/>
              </w:rPr>
            </w:pPr>
          </w:p>
        </w:tc>
        <w:tc>
          <w:tcPr>
            <w:tcW w:w="8646" w:type="dxa"/>
            <w:tcBorders>
              <w:top w:val="nil"/>
              <w:left w:val="nil"/>
              <w:bottom w:val="single" w:sz="4" w:space="0" w:color="auto"/>
              <w:right w:val="single" w:sz="4" w:space="0" w:color="auto"/>
            </w:tcBorders>
          </w:tcPr>
          <w:p w:rsidR="00C70B7A" w:rsidRPr="00C70B7A" w:rsidRDefault="00C70B7A" w:rsidP="00D9315F">
            <w:pPr>
              <w:rPr>
                <w:rFonts w:ascii="Calibri" w:hAnsi="Calibri"/>
              </w:rPr>
            </w:pPr>
          </w:p>
        </w:tc>
      </w:tr>
      <w:tr w:rsidR="00C70B7A" w:rsidRPr="00C70B7A" w:rsidTr="00333C14">
        <w:tc>
          <w:tcPr>
            <w:tcW w:w="1702" w:type="dxa"/>
            <w:tcBorders>
              <w:top w:val="single" w:sz="4" w:space="0" w:color="auto"/>
            </w:tcBorders>
            <w:shd w:val="clear" w:color="auto" w:fill="D9D9D9" w:themeFill="background1" w:themeFillShade="D9"/>
          </w:tcPr>
          <w:p w:rsidR="00C70B7A" w:rsidRPr="00C70B7A" w:rsidRDefault="00C70B7A" w:rsidP="00D9315F">
            <w:pPr>
              <w:rPr>
                <w:rFonts w:ascii="Calibri" w:hAnsi="Calibri"/>
                <w:b/>
              </w:rPr>
            </w:pPr>
            <w:r w:rsidRPr="00C70B7A">
              <w:rPr>
                <w:rFonts w:ascii="Calibri" w:hAnsi="Calibri"/>
                <w:b/>
              </w:rPr>
              <w:t>Title</w:t>
            </w:r>
          </w:p>
        </w:tc>
        <w:tc>
          <w:tcPr>
            <w:tcW w:w="8646" w:type="dxa"/>
            <w:tcBorders>
              <w:top w:val="single" w:sz="4" w:space="0" w:color="auto"/>
            </w:tcBorders>
          </w:tcPr>
          <w:p w:rsidR="00C70B7A" w:rsidRPr="009B3D0D" w:rsidRDefault="00C70B7A" w:rsidP="009B3D0D">
            <w:pPr>
              <w:jc w:val="center"/>
              <w:rPr>
                <w:rFonts w:ascii="Calibri" w:hAnsi="Calibri"/>
                <w:sz w:val="28"/>
                <w:szCs w:val="28"/>
              </w:rPr>
            </w:pPr>
            <w:r w:rsidRPr="009B3D0D">
              <w:rPr>
                <w:rFonts w:ascii="Calibri" w:hAnsi="Calibri"/>
                <w:sz w:val="28"/>
                <w:szCs w:val="28"/>
              </w:rPr>
              <w:t>Activism Sub-Committee (ASC)</w:t>
            </w:r>
          </w:p>
          <w:p w:rsidR="00C70B7A" w:rsidRPr="00C70B7A" w:rsidRDefault="00C70B7A" w:rsidP="00D9315F">
            <w:pPr>
              <w:rPr>
                <w:rFonts w:ascii="Calibri" w:hAnsi="Calibri"/>
              </w:rPr>
            </w:pPr>
          </w:p>
        </w:tc>
      </w:tr>
      <w:tr w:rsidR="002E5180" w:rsidRPr="00C70B7A" w:rsidTr="00333C14">
        <w:tc>
          <w:tcPr>
            <w:tcW w:w="1702" w:type="dxa"/>
            <w:shd w:val="clear" w:color="auto" w:fill="D9D9D9" w:themeFill="background1" w:themeFillShade="D9"/>
          </w:tcPr>
          <w:p w:rsidR="002E5180" w:rsidRPr="00C70B7A" w:rsidRDefault="002E5180" w:rsidP="00D9315F">
            <w:pPr>
              <w:rPr>
                <w:rFonts w:ascii="Calibri" w:hAnsi="Calibri"/>
                <w:b/>
              </w:rPr>
            </w:pPr>
            <w:r w:rsidRPr="00C70B7A">
              <w:rPr>
                <w:rFonts w:ascii="Calibri" w:hAnsi="Calibri"/>
                <w:b/>
              </w:rPr>
              <w:t>Purpose of the committee</w:t>
            </w:r>
          </w:p>
        </w:tc>
        <w:tc>
          <w:tcPr>
            <w:tcW w:w="8646" w:type="dxa"/>
          </w:tcPr>
          <w:p w:rsidR="002E5180" w:rsidRPr="00C95AD0" w:rsidRDefault="002E5180" w:rsidP="002E5180">
            <w:pPr>
              <w:pStyle w:val="Default"/>
              <w:contextualSpacing/>
            </w:pPr>
            <w:r>
              <w:rPr>
                <w:rFonts w:ascii="Calibri" w:hAnsi="Calibri"/>
                <w:sz w:val="22"/>
                <w:szCs w:val="22"/>
              </w:rPr>
              <w:t>The ASC is</w:t>
            </w:r>
            <w:r w:rsidRPr="0059472B">
              <w:rPr>
                <w:rFonts w:ascii="Calibri" w:hAnsi="Calibri"/>
                <w:sz w:val="22"/>
                <w:szCs w:val="22"/>
              </w:rPr>
              <w:t xml:space="preserve"> responsible for reviewing and overseeing the </w:t>
            </w:r>
            <w:r>
              <w:rPr>
                <w:rFonts w:ascii="Calibri" w:hAnsi="Calibri"/>
                <w:sz w:val="22"/>
                <w:szCs w:val="22"/>
              </w:rPr>
              <w:t xml:space="preserve">health, growth and impact of Amnesty UK’s activism.  </w:t>
            </w:r>
          </w:p>
          <w:p w:rsidR="002E5180" w:rsidRPr="00C95AD0" w:rsidRDefault="002E5180" w:rsidP="002E5180">
            <w:pPr>
              <w:autoSpaceDE w:val="0"/>
              <w:autoSpaceDN w:val="0"/>
              <w:adjustRightInd w:val="0"/>
              <w:rPr>
                <w:rFonts w:cs="Arial"/>
              </w:rPr>
            </w:pPr>
          </w:p>
        </w:tc>
      </w:tr>
      <w:tr w:rsidR="00C70B7A" w:rsidRPr="00C70B7A" w:rsidTr="00333C14">
        <w:tc>
          <w:tcPr>
            <w:tcW w:w="1702" w:type="dxa"/>
            <w:shd w:val="clear" w:color="auto" w:fill="D9D9D9" w:themeFill="background1" w:themeFillShade="D9"/>
          </w:tcPr>
          <w:p w:rsidR="00C70B7A" w:rsidRPr="00C70B7A" w:rsidRDefault="002E5180" w:rsidP="00D9315F">
            <w:pPr>
              <w:rPr>
                <w:rFonts w:ascii="Calibri" w:hAnsi="Calibri"/>
                <w:b/>
              </w:rPr>
            </w:pPr>
            <w:r>
              <w:rPr>
                <w:rFonts w:ascii="Calibri" w:hAnsi="Calibri"/>
                <w:b/>
              </w:rPr>
              <w:t>Responsibilities</w:t>
            </w:r>
          </w:p>
        </w:tc>
        <w:tc>
          <w:tcPr>
            <w:tcW w:w="8646" w:type="dxa"/>
          </w:tcPr>
          <w:p w:rsidR="002E5180" w:rsidRDefault="002E5180" w:rsidP="002E5180">
            <w:pPr>
              <w:autoSpaceDE w:val="0"/>
              <w:autoSpaceDN w:val="0"/>
              <w:adjustRightInd w:val="0"/>
              <w:rPr>
                <w:rFonts w:cs="Arial"/>
                <w:lang w:val="en-US"/>
              </w:rPr>
            </w:pPr>
            <w:r>
              <w:rPr>
                <w:rFonts w:cs="Arial"/>
                <w:lang w:val="en-US"/>
              </w:rPr>
              <w:t>The ASC is responsible for four areas:</w:t>
            </w:r>
          </w:p>
          <w:p w:rsidR="002E5180" w:rsidRDefault="002E5180" w:rsidP="002E5180">
            <w:pPr>
              <w:autoSpaceDE w:val="0"/>
              <w:autoSpaceDN w:val="0"/>
              <w:adjustRightInd w:val="0"/>
              <w:rPr>
                <w:rFonts w:cs="Arial"/>
                <w:lang w:val="en-US"/>
              </w:rPr>
            </w:pPr>
          </w:p>
          <w:p w:rsidR="002E5180" w:rsidRPr="002E5180" w:rsidRDefault="002E5180" w:rsidP="002E5180">
            <w:pPr>
              <w:pStyle w:val="ListParagraph"/>
              <w:numPr>
                <w:ilvl w:val="0"/>
                <w:numId w:val="8"/>
              </w:numPr>
              <w:autoSpaceDE w:val="0"/>
              <w:autoSpaceDN w:val="0"/>
              <w:adjustRightInd w:val="0"/>
              <w:rPr>
                <w:rFonts w:cs="Arial"/>
              </w:rPr>
            </w:pPr>
            <w:r w:rsidRPr="002E5180">
              <w:rPr>
                <w:rFonts w:cs="Arial"/>
                <w:lang w:val="en-US"/>
              </w:rPr>
              <w:t xml:space="preserve">To </w:t>
            </w:r>
            <w:proofErr w:type="spellStart"/>
            <w:r>
              <w:rPr>
                <w:rFonts w:cs="Arial"/>
                <w:lang w:val="en-US"/>
              </w:rPr>
              <w:t>m</w:t>
            </w:r>
            <w:r w:rsidRPr="002E5180">
              <w:rPr>
                <w:rFonts w:cs="Arial"/>
                <w:lang w:val="en-US"/>
              </w:rPr>
              <w:t>aximise</w:t>
            </w:r>
            <w:proofErr w:type="spellEnd"/>
            <w:r w:rsidRPr="002E5180">
              <w:rPr>
                <w:rFonts w:cs="Arial"/>
                <w:lang w:val="en-US"/>
              </w:rPr>
              <w:t xml:space="preserve"> the </w:t>
            </w:r>
            <w:r w:rsidRPr="002E5180">
              <w:rPr>
                <w:rFonts w:cs="Arial"/>
                <w:b/>
                <w:bCs/>
                <w:lang w:val="en-US"/>
              </w:rPr>
              <w:t>health, growth and human rights impact of the activism of Amnesty UK</w:t>
            </w:r>
            <w:r>
              <w:rPr>
                <w:rFonts w:cs="Arial"/>
                <w:b/>
                <w:bCs/>
                <w:lang w:val="en-US"/>
              </w:rPr>
              <w:t xml:space="preserve"> </w:t>
            </w:r>
            <w:r w:rsidRPr="002E5180">
              <w:rPr>
                <w:rFonts w:cs="Arial"/>
                <w:bCs/>
                <w:lang w:val="en-US"/>
              </w:rPr>
              <w:t>it</w:t>
            </w:r>
            <w:r w:rsidRPr="002E5180">
              <w:rPr>
                <w:rFonts w:cs="Arial"/>
                <w:lang w:val="en-US"/>
              </w:rPr>
              <w:t>:</w:t>
            </w:r>
          </w:p>
          <w:p w:rsidR="00BD7AD6" w:rsidRPr="002E5180" w:rsidRDefault="00BD2902" w:rsidP="002E5180">
            <w:pPr>
              <w:numPr>
                <w:ilvl w:val="0"/>
                <w:numId w:val="4"/>
              </w:numPr>
              <w:autoSpaceDE w:val="0"/>
              <w:autoSpaceDN w:val="0"/>
              <w:adjustRightInd w:val="0"/>
              <w:rPr>
                <w:rFonts w:cs="Arial"/>
              </w:rPr>
            </w:pPr>
            <w:r w:rsidRPr="002E5180">
              <w:rPr>
                <w:rFonts w:cs="Arial"/>
                <w:lang w:val="en-US"/>
              </w:rPr>
              <w:t>Provide</w:t>
            </w:r>
            <w:r w:rsidR="002E5180">
              <w:rPr>
                <w:rFonts w:cs="Arial"/>
                <w:lang w:val="en-US"/>
              </w:rPr>
              <w:t>s</w:t>
            </w:r>
            <w:r w:rsidRPr="002E5180">
              <w:rPr>
                <w:rFonts w:cs="Arial"/>
                <w:lang w:val="en-US"/>
              </w:rPr>
              <w:t xml:space="preserve"> expert opinion and recommendations to the Board regarding the health, growth and impact of Amnesty UK’s activism </w:t>
            </w:r>
          </w:p>
          <w:p w:rsidR="00BD7AD6" w:rsidRPr="002E5180" w:rsidRDefault="00BD2902" w:rsidP="002E5180">
            <w:pPr>
              <w:numPr>
                <w:ilvl w:val="0"/>
                <w:numId w:val="4"/>
              </w:numPr>
              <w:autoSpaceDE w:val="0"/>
              <w:autoSpaceDN w:val="0"/>
              <w:adjustRightInd w:val="0"/>
              <w:rPr>
                <w:rFonts w:cs="Arial"/>
              </w:rPr>
            </w:pPr>
            <w:r w:rsidRPr="002E5180">
              <w:rPr>
                <w:rFonts w:cs="Arial"/>
                <w:lang w:val="en-US"/>
              </w:rPr>
              <w:t>Inform</w:t>
            </w:r>
            <w:r w:rsidR="002E5180">
              <w:rPr>
                <w:rFonts w:cs="Arial"/>
                <w:lang w:val="en-US"/>
              </w:rPr>
              <w:t>s</w:t>
            </w:r>
            <w:r w:rsidRPr="002E5180">
              <w:rPr>
                <w:rFonts w:cs="Arial"/>
                <w:lang w:val="en-US"/>
              </w:rPr>
              <w:t xml:space="preserve"> and review</w:t>
            </w:r>
            <w:r w:rsidR="002E5180">
              <w:rPr>
                <w:rFonts w:cs="Arial"/>
                <w:lang w:val="en-US"/>
              </w:rPr>
              <w:t>s</w:t>
            </w:r>
            <w:r w:rsidRPr="002E5180">
              <w:rPr>
                <w:rFonts w:cs="Arial"/>
                <w:lang w:val="en-US"/>
              </w:rPr>
              <w:t xml:space="preserve"> the following strategies, implementation plans and evaluations of those strategies that effect the health, growth and impact of activism and recommend action when necessary:</w:t>
            </w:r>
          </w:p>
          <w:p w:rsidR="002E5180" w:rsidRPr="002E5180" w:rsidRDefault="002E5180" w:rsidP="002E5180">
            <w:pPr>
              <w:numPr>
                <w:ilvl w:val="1"/>
                <w:numId w:val="4"/>
              </w:numPr>
              <w:autoSpaceDE w:val="0"/>
              <w:autoSpaceDN w:val="0"/>
              <w:adjustRightInd w:val="0"/>
              <w:rPr>
                <w:rFonts w:cs="Arial"/>
              </w:rPr>
            </w:pPr>
            <w:r>
              <w:rPr>
                <w:rFonts w:cs="Arial"/>
                <w:lang w:val="en-US"/>
              </w:rPr>
              <w:t>Activism strategy</w:t>
            </w:r>
          </w:p>
          <w:p w:rsidR="002E5180" w:rsidRPr="002E5180" w:rsidRDefault="00BD2902" w:rsidP="002E5180">
            <w:pPr>
              <w:numPr>
                <w:ilvl w:val="1"/>
                <w:numId w:val="4"/>
              </w:numPr>
              <w:autoSpaceDE w:val="0"/>
              <w:autoSpaceDN w:val="0"/>
              <w:adjustRightInd w:val="0"/>
              <w:rPr>
                <w:rFonts w:cs="Arial"/>
              </w:rPr>
            </w:pPr>
            <w:r w:rsidRPr="002E5180">
              <w:rPr>
                <w:rFonts w:cs="Arial"/>
                <w:lang w:val="en-US"/>
              </w:rPr>
              <w:t>H</w:t>
            </w:r>
            <w:r w:rsidR="002E5180">
              <w:rPr>
                <w:rFonts w:cs="Arial"/>
                <w:lang w:val="en-US"/>
              </w:rPr>
              <w:t>uman Rights Education strategy</w:t>
            </w:r>
          </w:p>
          <w:p w:rsidR="002E5180" w:rsidRPr="002E5180" w:rsidRDefault="00BD2902" w:rsidP="002E5180">
            <w:pPr>
              <w:numPr>
                <w:ilvl w:val="1"/>
                <w:numId w:val="4"/>
              </w:numPr>
              <w:autoSpaceDE w:val="0"/>
              <w:autoSpaceDN w:val="0"/>
              <w:adjustRightInd w:val="0"/>
              <w:rPr>
                <w:rFonts w:cs="Arial"/>
              </w:rPr>
            </w:pPr>
            <w:r w:rsidRPr="002E5180">
              <w:rPr>
                <w:rFonts w:cs="Arial"/>
                <w:lang w:val="en-US"/>
              </w:rPr>
              <w:t xml:space="preserve">Communications strategy; (approach to) campaigning strategy and </w:t>
            </w:r>
            <w:r w:rsidR="002E5180">
              <w:rPr>
                <w:rFonts w:cs="Arial"/>
                <w:lang w:val="en-US"/>
              </w:rPr>
              <w:t>Priority Campaign strategies</w:t>
            </w:r>
          </w:p>
          <w:p w:rsidR="002E5180" w:rsidRPr="002E5180" w:rsidRDefault="00BD2902" w:rsidP="002E5180">
            <w:pPr>
              <w:numPr>
                <w:ilvl w:val="1"/>
                <w:numId w:val="4"/>
              </w:numPr>
              <w:autoSpaceDE w:val="0"/>
              <w:autoSpaceDN w:val="0"/>
              <w:adjustRightInd w:val="0"/>
              <w:rPr>
                <w:rFonts w:cs="Arial"/>
              </w:rPr>
            </w:pPr>
            <w:r w:rsidRPr="002E5180">
              <w:rPr>
                <w:rFonts w:cs="Arial"/>
                <w:lang w:val="en-US"/>
              </w:rPr>
              <w:t>Fundraising strateg</w:t>
            </w:r>
            <w:r w:rsidR="00633F72">
              <w:rPr>
                <w:rFonts w:cs="Arial"/>
                <w:lang w:val="en-US"/>
              </w:rPr>
              <w:t>y</w:t>
            </w:r>
            <w:bookmarkStart w:id="0" w:name="_GoBack"/>
            <w:bookmarkEnd w:id="0"/>
            <w:r w:rsidRPr="002E5180">
              <w:rPr>
                <w:rFonts w:cs="Arial"/>
                <w:lang w:val="en-US"/>
              </w:rPr>
              <w:t xml:space="preserve"> </w:t>
            </w:r>
          </w:p>
          <w:p w:rsidR="00BD7AD6" w:rsidRPr="002E5180" w:rsidRDefault="002E5180" w:rsidP="002E5180">
            <w:pPr>
              <w:numPr>
                <w:ilvl w:val="1"/>
                <w:numId w:val="4"/>
              </w:numPr>
              <w:autoSpaceDE w:val="0"/>
              <w:autoSpaceDN w:val="0"/>
              <w:adjustRightInd w:val="0"/>
              <w:rPr>
                <w:rFonts w:cs="Arial"/>
              </w:rPr>
            </w:pPr>
            <w:r>
              <w:rPr>
                <w:rFonts w:cs="Arial"/>
                <w:lang w:val="en-US"/>
              </w:rPr>
              <w:t>A</w:t>
            </w:r>
            <w:r w:rsidR="00BD2902" w:rsidRPr="002E5180">
              <w:rPr>
                <w:rFonts w:cs="Arial"/>
                <w:lang w:val="en-US"/>
              </w:rPr>
              <w:t>ny other strategies that may arise that effect the health</w:t>
            </w:r>
            <w:r>
              <w:rPr>
                <w:rFonts w:cs="Arial"/>
                <w:lang w:val="en-US"/>
              </w:rPr>
              <w:t xml:space="preserve"> or growth of our activist base</w:t>
            </w:r>
          </w:p>
          <w:p w:rsidR="00BD7AD6" w:rsidRPr="002E5180" w:rsidRDefault="00BD2902" w:rsidP="002E5180">
            <w:pPr>
              <w:numPr>
                <w:ilvl w:val="0"/>
                <w:numId w:val="4"/>
              </w:numPr>
              <w:autoSpaceDE w:val="0"/>
              <w:autoSpaceDN w:val="0"/>
              <w:adjustRightInd w:val="0"/>
              <w:rPr>
                <w:rFonts w:cs="Arial"/>
              </w:rPr>
            </w:pPr>
            <w:r w:rsidRPr="002E5180">
              <w:rPr>
                <w:rFonts w:cs="Arial"/>
                <w:lang w:val="en-US"/>
              </w:rPr>
              <w:t>Ensure</w:t>
            </w:r>
            <w:r w:rsidR="002E5180">
              <w:rPr>
                <w:rFonts w:cs="Arial"/>
                <w:lang w:val="en-US"/>
              </w:rPr>
              <w:t>s</w:t>
            </w:r>
            <w:r w:rsidRPr="002E5180">
              <w:rPr>
                <w:rFonts w:cs="Arial"/>
                <w:lang w:val="en-US"/>
              </w:rPr>
              <w:t xml:space="preserve"> that the </w:t>
            </w:r>
            <w:r w:rsidRPr="002E5180">
              <w:rPr>
                <w:rFonts w:cs="Arial"/>
                <w:b/>
                <w:bCs/>
                <w:lang w:val="en-US"/>
              </w:rPr>
              <w:t xml:space="preserve">mechanisms for measuring and monitoring the health, growth and impact of activism are effective </w:t>
            </w:r>
            <w:r w:rsidRPr="002E5180">
              <w:rPr>
                <w:rFonts w:cs="Arial"/>
                <w:lang w:val="en-US"/>
              </w:rPr>
              <w:t>and meet the needs of Amnesty UK and the wider international movement</w:t>
            </w:r>
          </w:p>
          <w:p w:rsidR="00BD7AD6" w:rsidRPr="002E5180" w:rsidRDefault="00BD2902" w:rsidP="002E5180">
            <w:pPr>
              <w:numPr>
                <w:ilvl w:val="0"/>
                <w:numId w:val="4"/>
              </w:numPr>
              <w:autoSpaceDE w:val="0"/>
              <w:autoSpaceDN w:val="0"/>
              <w:adjustRightInd w:val="0"/>
              <w:rPr>
                <w:rFonts w:cs="Arial"/>
              </w:rPr>
            </w:pPr>
            <w:r w:rsidRPr="002E5180">
              <w:rPr>
                <w:rFonts w:cs="Arial"/>
                <w:lang w:val="en-US"/>
              </w:rPr>
              <w:t>Provide</w:t>
            </w:r>
            <w:r w:rsidR="002E5180">
              <w:rPr>
                <w:rFonts w:cs="Arial"/>
                <w:lang w:val="en-US"/>
              </w:rPr>
              <w:t>s</w:t>
            </w:r>
            <w:r w:rsidRPr="002E5180">
              <w:rPr>
                <w:rFonts w:cs="Arial"/>
                <w:lang w:val="en-US"/>
              </w:rPr>
              <w:t xml:space="preserve"> regular reports to Amnesty UK members (including at the AGM) on the health, growth and impact of their activism</w:t>
            </w:r>
          </w:p>
          <w:p w:rsidR="00C95AD0" w:rsidRDefault="00C95AD0" w:rsidP="002E5180">
            <w:pPr>
              <w:autoSpaceDE w:val="0"/>
              <w:autoSpaceDN w:val="0"/>
              <w:adjustRightInd w:val="0"/>
              <w:rPr>
                <w:rFonts w:cs="Arial"/>
              </w:rPr>
            </w:pPr>
          </w:p>
          <w:p w:rsidR="002E5180" w:rsidRPr="002E5180" w:rsidRDefault="002E5180" w:rsidP="002E5180">
            <w:pPr>
              <w:pStyle w:val="ListParagraph"/>
              <w:numPr>
                <w:ilvl w:val="0"/>
                <w:numId w:val="8"/>
              </w:numPr>
              <w:autoSpaceDE w:val="0"/>
              <w:autoSpaceDN w:val="0"/>
              <w:adjustRightInd w:val="0"/>
              <w:rPr>
                <w:rFonts w:cs="Arial"/>
              </w:rPr>
            </w:pPr>
            <w:proofErr w:type="spellStart"/>
            <w:r w:rsidRPr="002E5180">
              <w:rPr>
                <w:rFonts w:cs="Arial"/>
                <w:lang w:val="en-US"/>
              </w:rPr>
              <w:t>Scrutinis</w:t>
            </w:r>
            <w:r>
              <w:rPr>
                <w:rFonts w:cs="Arial"/>
                <w:lang w:val="en-US"/>
              </w:rPr>
              <w:t>es</w:t>
            </w:r>
            <w:proofErr w:type="spellEnd"/>
            <w:r w:rsidRPr="002E5180">
              <w:rPr>
                <w:rFonts w:cs="Arial"/>
                <w:lang w:val="en-US"/>
              </w:rPr>
              <w:t xml:space="preserve"> the </w:t>
            </w:r>
            <w:r w:rsidRPr="002E5180">
              <w:rPr>
                <w:rFonts w:cs="Arial"/>
                <w:b/>
                <w:lang w:val="en-US"/>
              </w:rPr>
              <w:t>policies and management of risk</w:t>
            </w:r>
            <w:r w:rsidRPr="002E5180">
              <w:rPr>
                <w:rFonts w:cs="Arial"/>
                <w:lang w:val="en-US"/>
              </w:rPr>
              <w:t xml:space="preserve"> surrounding the impact, health and growth of activism and our activist base:</w:t>
            </w:r>
          </w:p>
          <w:p w:rsidR="00BD7AD6" w:rsidRPr="002E5180" w:rsidRDefault="00BD2902" w:rsidP="002E5180">
            <w:pPr>
              <w:numPr>
                <w:ilvl w:val="0"/>
                <w:numId w:val="5"/>
              </w:numPr>
              <w:autoSpaceDE w:val="0"/>
              <w:autoSpaceDN w:val="0"/>
              <w:adjustRightInd w:val="0"/>
              <w:rPr>
                <w:rFonts w:cs="Arial"/>
              </w:rPr>
            </w:pPr>
            <w:r w:rsidRPr="002E5180">
              <w:rPr>
                <w:rFonts w:cs="Arial"/>
                <w:lang w:val="en-US"/>
              </w:rPr>
              <w:t>Review</w:t>
            </w:r>
            <w:r w:rsidR="002E5180">
              <w:rPr>
                <w:rFonts w:cs="Arial"/>
                <w:lang w:val="en-US"/>
              </w:rPr>
              <w:t>s</w:t>
            </w:r>
            <w:r w:rsidRPr="002E5180">
              <w:rPr>
                <w:rFonts w:cs="Arial"/>
                <w:lang w:val="en-US"/>
              </w:rPr>
              <w:t xml:space="preserve"> the risk register, update annually and ensure monitoring of both internal and external risks to the </w:t>
            </w:r>
            <w:proofErr w:type="spellStart"/>
            <w:r w:rsidRPr="002E5180">
              <w:rPr>
                <w:rFonts w:cs="Arial"/>
                <w:lang w:val="en-US"/>
              </w:rPr>
              <w:t>organisation</w:t>
            </w:r>
            <w:proofErr w:type="spellEnd"/>
            <w:r w:rsidRPr="002E5180">
              <w:rPr>
                <w:rFonts w:cs="Arial"/>
                <w:lang w:val="en-US"/>
              </w:rPr>
              <w:t xml:space="preserve"> that affect the impact, health and growth of activism and the activist base. Please note that overall approval of the risk register is the responsibility of the FSC.</w:t>
            </w:r>
          </w:p>
          <w:p w:rsidR="00BD7AD6" w:rsidRPr="002E5180" w:rsidRDefault="00BD2902" w:rsidP="002E5180">
            <w:pPr>
              <w:numPr>
                <w:ilvl w:val="0"/>
                <w:numId w:val="5"/>
              </w:numPr>
              <w:autoSpaceDE w:val="0"/>
              <w:autoSpaceDN w:val="0"/>
              <w:adjustRightInd w:val="0"/>
              <w:rPr>
                <w:rFonts w:cs="Arial"/>
              </w:rPr>
            </w:pPr>
            <w:r w:rsidRPr="002E5180">
              <w:rPr>
                <w:rFonts w:cs="Arial"/>
                <w:lang w:val="en-US"/>
              </w:rPr>
              <w:t>Periodically review</w:t>
            </w:r>
            <w:r w:rsidR="002E5180">
              <w:rPr>
                <w:rFonts w:cs="Arial"/>
                <w:lang w:val="en-US"/>
              </w:rPr>
              <w:t>s</w:t>
            </w:r>
            <w:r w:rsidRPr="002E5180">
              <w:rPr>
                <w:rFonts w:cs="Arial"/>
                <w:lang w:val="en-US"/>
              </w:rPr>
              <w:t xml:space="preserve"> policies and implementation of policies effecting the conduct and health of our activists, including:</w:t>
            </w:r>
          </w:p>
          <w:p w:rsidR="00BD7AD6" w:rsidRPr="002E5180" w:rsidRDefault="00BD2902" w:rsidP="002E5180">
            <w:pPr>
              <w:numPr>
                <w:ilvl w:val="1"/>
                <w:numId w:val="5"/>
              </w:numPr>
              <w:autoSpaceDE w:val="0"/>
              <w:autoSpaceDN w:val="0"/>
              <w:adjustRightInd w:val="0"/>
              <w:rPr>
                <w:rFonts w:cs="Arial"/>
              </w:rPr>
            </w:pPr>
            <w:r w:rsidRPr="002E5180">
              <w:rPr>
                <w:rFonts w:cs="Arial"/>
                <w:lang w:val="en-US"/>
              </w:rPr>
              <w:t>Brand and social media guidelines</w:t>
            </w:r>
          </w:p>
          <w:p w:rsidR="00BD7AD6" w:rsidRPr="002E5180" w:rsidRDefault="00BD2902" w:rsidP="002E5180">
            <w:pPr>
              <w:numPr>
                <w:ilvl w:val="1"/>
                <w:numId w:val="5"/>
              </w:numPr>
              <w:autoSpaceDE w:val="0"/>
              <w:autoSpaceDN w:val="0"/>
              <w:adjustRightInd w:val="0"/>
              <w:rPr>
                <w:rFonts w:cs="Arial"/>
              </w:rPr>
            </w:pPr>
            <w:r w:rsidRPr="002E5180">
              <w:rPr>
                <w:rFonts w:cs="Arial"/>
                <w:lang w:val="en-US"/>
              </w:rPr>
              <w:t>Activist code of conduct</w:t>
            </w:r>
          </w:p>
          <w:p w:rsidR="00BD7AD6" w:rsidRPr="002E5180" w:rsidRDefault="00BD2902" w:rsidP="002E5180">
            <w:pPr>
              <w:numPr>
                <w:ilvl w:val="1"/>
                <w:numId w:val="5"/>
              </w:numPr>
              <w:autoSpaceDE w:val="0"/>
              <w:autoSpaceDN w:val="0"/>
              <w:adjustRightInd w:val="0"/>
              <w:rPr>
                <w:rFonts w:cs="Arial"/>
              </w:rPr>
            </w:pPr>
            <w:r w:rsidRPr="002E5180">
              <w:rPr>
                <w:rFonts w:cs="Arial"/>
                <w:lang w:val="en-US"/>
              </w:rPr>
              <w:t>Working with others (partner policy)</w:t>
            </w:r>
          </w:p>
          <w:p w:rsidR="00BD7AD6" w:rsidRPr="002E5180" w:rsidRDefault="00BD2902" w:rsidP="002E5180">
            <w:pPr>
              <w:numPr>
                <w:ilvl w:val="1"/>
                <w:numId w:val="5"/>
              </w:numPr>
              <w:autoSpaceDE w:val="0"/>
              <w:autoSpaceDN w:val="0"/>
              <w:adjustRightInd w:val="0"/>
              <w:rPr>
                <w:rFonts w:cs="Arial"/>
              </w:rPr>
            </w:pPr>
            <w:r w:rsidRPr="002E5180">
              <w:rPr>
                <w:rFonts w:cs="Arial"/>
                <w:lang w:val="en-US"/>
              </w:rPr>
              <w:t>Child Protection Policy</w:t>
            </w:r>
          </w:p>
          <w:p w:rsidR="00BD7AD6" w:rsidRPr="002E5180" w:rsidRDefault="00BD2902" w:rsidP="002E5180">
            <w:pPr>
              <w:numPr>
                <w:ilvl w:val="1"/>
                <w:numId w:val="5"/>
              </w:numPr>
              <w:autoSpaceDE w:val="0"/>
              <w:autoSpaceDN w:val="0"/>
              <w:adjustRightInd w:val="0"/>
              <w:rPr>
                <w:rFonts w:cs="Arial"/>
              </w:rPr>
            </w:pPr>
            <w:r w:rsidRPr="002E5180">
              <w:rPr>
                <w:rFonts w:cs="Arial"/>
                <w:lang w:val="en-US"/>
              </w:rPr>
              <w:t>Data Protection Policy</w:t>
            </w:r>
          </w:p>
          <w:p w:rsidR="002E5180" w:rsidRPr="002E5180" w:rsidRDefault="002E5180" w:rsidP="002E5180">
            <w:pPr>
              <w:pStyle w:val="ListParagraph"/>
              <w:autoSpaceDE w:val="0"/>
              <w:autoSpaceDN w:val="0"/>
              <w:adjustRightInd w:val="0"/>
              <w:rPr>
                <w:rFonts w:cs="Arial"/>
              </w:rPr>
            </w:pPr>
          </w:p>
          <w:p w:rsidR="002E5180" w:rsidRPr="002E5180" w:rsidRDefault="002E5180" w:rsidP="002E5180">
            <w:pPr>
              <w:pStyle w:val="ListParagraph"/>
              <w:numPr>
                <w:ilvl w:val="0"/>
                <w:numId w:val="8"/>
              </w:numPr>
              <w:autoSpaceDE w:val="0"/>
              <w:autoSpaceDN w:val="0"/>
              <w:adjustRightInd w:val="0"/>
              <w:rPr>
                <w:rFonts w:cs="Arial"/>
              </w:rPr>
            </w:pPr>
            <w:r w:rsidRPr="002E5180">
              <w:rPr>
                <w:rFonts w:cs="Arial"/>
                <w:lang w:val="en-US"/>
              </w:rPr>
              <w:t xml:space="preserve">On behalf of activists, </w:t>
            </w:r>
            <w:r>
              <w:rPr>
                <w:rFonts w:cs="Arial"/>
                <w:lang w:val="en-US"/>
              </w:rPr>
              <w:t>assesses</w:t>
            </w:r>
            <w:r w:rsidRPr="002E5180">
              <w:rPr>
                <w:rFonts w:cs="Arial"/>
                <w:lang w:val="en-US"/>
              </w:rPr>
              <w:t xml:space="preserve"> the </w:t>
            </w:r>
            <w:r w:rsidRPr="002E5180">
              <w:rPr>
                <w:rFonts w:cs="Arial"/>
                <w:b/>
                <w:bCs/>
                <w:lang w:val="en-US"/>
              </w:rPr>
              <w:t xml:space="preserve">transparency, accountability and activist engagement </w:t>
            </w:r>
            <w:r w:rsidRPr="002E5180">
              <w:rPr>
                <w:rFonts w:cs="Arial"/>
                <w:lang w:val="en-US"/>
              </w:rPr>
              <w:t>in the decisions of the Board of A</w:t>
            </w:r>
            <w:r>
              <w:rPr>
                <w:rFonts w:cs="Arial"/>
                <w:lang w:val="en-US"/>
              </w:rPr>
              <w:t xml:space="preserve">mnesty UK section and recommends </w:t>
            </w:r>
            <w:r w:rsidRPr="002E5180">
              <w:rPr>
                <w:rFonts w:cs="Arial"/>
                <w:lang w:val="en-US"/>
              </w:rPr>
              <w:t>action when necessary:</w:t>
            </w:r>
          </w:p>
          <w:p w:rsidR="00BD7AD6" w:rsidRPr="002E5180" w:rsidRDefault="00BD2902" w:rsidP="002E5180">
            <w:pPr>
              <w:numPr>
                <w:ilvl w:val="0"/>
                <w:numId w:val="6"/>
              </w:numPr>
              <w:autoSpaceDE w:val="0"/>
              <w:autoSpaceDN w:val="0"/>
              <w:adjustRightInd w:val="0"/>
              <w:rPr>
                <w:rFonts w:cs="Arial"/>
              </w:rPr>
            </w:pPr>
            <w:r w:rsidRPr="002E5180">
              <w:rPr>
                <w:rFonts w:cs="Arial"/>
                <w:lang w:val="en-US"/>
              </w:rPr>
              <w:t>Inform</w:t>
            </w:r>
            <w:r w:rsidR="002E5180">
              <w:rPr>
                <w:rFonts w:cs="Arial"/>
                <w:lang w:val="en-US"/>
              </w:rPr>
              <w:t>s</w:t>
            </w:r>
            <w:r w:rsidRPr="002E5180">
              <w:rPr>
                <w:rFonts w:cs="Arial"/>
                <w:lang w:val="en-US"/>
              </w:rPr>
              <w:t xml:space="preserve"> the planning, running and evaluation of the AGM</w:t>
            </w:r>
          </w:p>
          <w:p w:rsidR="00BD7AD6" w:rsidRPr="002E5180" w:rsidRDefault="00BD2902" w:rsidP="002E5180">
            <w:pPr>
              <w:numPr>
                <w:ilvl w:val="0"/>
                <w:numId w:val="6"/>
              </w:numPr>
              <w:autoSpaceDE w:val="0"/>
              <w:autoSpaceDN w:val="0"/>
              <w:adjustRightInd w:val="0"/>
              <w:rPr>
                <w:rFonts w:cs="Arial"/>
              </w:rPr>
            </w:pPr>
            <w:r w:rsidRPr="002E5180">
              <w:rPr>
                <w:rFonts w:cs="Arial"/>
                <w:lang w:val="en-US"/>
              </w:rPr>
              <w:t>Regularly review</w:t>
            </w:r>
            <w:r w:rsidR="002E5180">
              <w:rPr>
                <w:rFonts w:cs="Arial"/>
                <w:lang w:val="en-US"/>
              </w:rPr>
              <w:t>s</w:t>
            </w:r>
            <w:r w:rsidRPr="002E5180">
              <w:rPr>
                <w:rFonts w:cs="Arial"/>
                <w:lang w:val="en-US"/>
              </w:rPr>
              <w:t xml:space="preserve"> the implementation of AGM decisions</w:t>
            </w:r>
          </w:p>
          <w:p w:rsidR="00BD7AD6" w:rsidRPr="002E5180" w:rsidRDefault="00BD2902" w:rsidP="002E5180">
            <w:pPr>
              <w:numPr>
                <w:ilvl w:val="0"/>
                <w:numId w:val="6"/>
              </w:numPr>
              <w:autoSpaceDE w:val="0"/>
              <w:autoSpaceDN w:val="0"/>
              <w:adjustRightInd w:val="0"/>
              <w:rPr>
                <w:rFonts w:cs="Arial"/>
              </w:rPr>
            </w:pPr>
            <w:r w:rsidRPr="002E5180">
              <w:rPr>
                <w:rFonts w:cs="Arial"/>
                <w:lang w:val="en-US"/>
              </w:rPr>
              <w:t>Periodically review</w:t>
            </w:r>
            <w:r w:rsidR="002E5180">
              <w:rPr>
                <w:rFonts w:cs="Arial"/>
                <w:lang w:val="en-US"/>
              </w:rPr>
              <w:t>s</w:t>
            </w:r>
            <w:r w:rsidRPr="002E5180">
              <w:rPr>
                <w:rFonts w:cs="Arial"/>
                <w:lang w:val="en-US"/>
              </w:rPr>
              <w:t xml:space="preserve"> the AGM standing orders to ensure they are effective in enabling the participation of activists</w:t>
            </w:r>
          </w:p>
          <w:p w:rsidR="00BD7AD6" w:rsidRPr="002E5180" w:rsidRDefault="00BD2902" w:rsidP="002E5180">
            <w:pPr>
              <w:numPr>
                <w:ilvl w:val="0"/>
                <w:numId w:val="6"/>
              </w:numPr>
              <w:autoSpaceDE w:val="0"/>
              <w:autoSpaceDN w:val="0"/>
              <w:adjustRightInd w:val="0"/>
              <w:rPr>
                <w:rFonts w:cs="Arial"/>
              </w:rPr>
            </w:pPr>
            <w:r w:rsidRPr="002E5180">
              <w:rPr>
                <w:rFonts w:cs="Arial"/>
                <w:lang w:val="en-US"/>
              </w:rPr>
              <w:t>Inform</w:t>
            </w:r>
            <w:r w:rsidR="002E5180">
              <w:rPr>
                <w:rFonts w:cs="Arial"/>
                <w:lang w:val="en-US"/>
              </w:rPr>
              <w:t>s</w:t>
            </w:r>
            <w:r w:rsidRPr="002E5180">
              <w:rPr>
                <w:rFonts w:cs="Arial"/>
                <w:lang w:val="en-US"/>
              </w:rPr>
              <w:t xml:space="preserve"> the approach and overseeing the implementation of consultations with activists  </w:t>
            </w:r>
          </w:p>
          <w:p w:rsidR="002E5180" w:rsidRPr="002E5180" w:rsidRDefault="002E5180" w:rsidP="002E5180">
            <w:pPr>
              <w:autoSpaceDE w:val="0"/>
              <w:autoSpaceDN w:val="0"/>
              <w:adjustRightInd w:val="0"/>
              <w:rPr>
                <w:rFonts w:cs="Arial"/>
              </w:rPr>
            </w:pPr>
            <w:r w:rsidRPr="002E5180">
              <w:rPr>
                <w:rFonts w:cs="Arial"/>
                <w:lang w:val="en-US"/>
              </w:rPr>
              <w:lastRenderedPageBreak/>
              <w:t> </w:t>
            </w:r>
          </w:p>
          <w:p w:rsidR="002E5180" w:rsidRPr="002E5180" w:rsidRDefault="002E5180" w:rsidP="002E5180">
            <w:pPr>
              <w:pStyle w:val="ListParagraph"/>
              <w:numPr>
                <w:ilvl w:val="0"/>
                <w:numId w:val="8"/>
              </w:numPr>
              <w:autoSpaceDE w:val="0"/>
              <w:autoSpaceDN w:val="0"/>
              <w:adjustRightInd w:val="0"/>
              <w:rPr>
                <w:rFonts w:cs="Arial"/>
              </w:rPr>
            </w:pPr>
            <w:r w:rsidRPr="002E5180">
              <w:rPr>
                <w:rFonts w:cs="Arial"/>
                <w:lang w:val="en-US"/>
              </w:rPr>
              <w:t>Ensure</w:t>
            </w:r>
            <w:r>
              <w:rPr>
                <w:rFonts w:cs="Arial"/>
                <w:lang w:val="en-US"/>
              </w:rPr>
              <w:t>s</w:t>
            </w:r>
            <w:r w:rsidRPr="002E5180">
              <w:rPr>
                <w:rFonts w:cs="Arial"/>
                <w:lang w:val="en-US"/>
              </w:rPr>
              <w:t xml:space="preserve"> communication within </w:t>
            </w:r>
            <w:r w:rsidRPr="002E5180">
              <w:rPr>
                <w:rFonts w:cs="Arial"/>
                <w:b/>
                <w:bCs/>
                <w:lang w:val="en-US"/>
              </w:rPr>
              <w:t xml:space="preserve">the activist base and between activists and staff is healthy and effective </w:t>
            </w:r>
            <w:r w:rsidRPr="002E5180">
              <w:rPr>
                <w:rFonts w:cs="Arial"/>
                <w:lang w:val="en-US"/>
              </w:rPr>
              <w:t>and recommending action when necessary:</w:t>
            </w:r>
          </w:p>
          <w:p w:rsidR="00BD7AD6" w:rsidRPr="002E5180" w:rsidRDefault="00BD2902" w:rsidP="002E5180">
            <w:pPr>
              <w:numPr>
                <w:ilvl w:val="0"/>
                <w:numId w:val="7"/>
              </w:numPr>
              <w:autoSpaceDE w:val="0"/>
              <w:autoSpaceDN w:val="0"/>
              <w:adjustRightInd w:val="0"/>
              <w:rPr>
                <w:rFonts w:cs="Arial"/>
              </w:rPr>
            </w:pPr>
            <w:r w:rsidRPr="002E5180">
              <w:rPr>
                <w:rFonts w:cs="Arial"/>
                <w:lang w:val="en-US"/>
              </w:rPr>
              <w:t>Periodically review</w:t>
            </w:r>
            <w:r w:rsidR="002E5180">
              <w:rPr>
                <w:rFonts w:cs="Arial"/>
                <w:lang w:val="en-US"/>
              </w:rPr>
              <w:t>s</w:t>
            </w:r>
            <w:r w:rsidRPr="002E5180">
              <w:rPr>
                <w:rFonts w:cs="Arial"/>
                <w:lang w:val="en-US"/>
              </w:rPr>
              <w:t xml:space="preserve"> mechanisms for communication between activists themselves and between activists and staff</w:t>
            </w:r>
          </w:p>
          <w:p w:rsidR="00BD7AD6" w:rsidRPr="002E5180" w:rsidRDefault="00BD2902" w:rsidP="002E5180">
            <w:pPr>
              <w:numPr>
                <w:ilvl w:val="0"/>
                <w:numId w:val="7"/>
              </w:numPr>
              <w:autoSpaceDE w:val="0"/>
              <w:autoSpaceDN w:val="0"/>
              <w:adjustRightInd w:val="0"/>
              <w:rPr>
                <w:rFonts w:cs="Arial"/>
              </w:rPr>
            </w:pPr>
            <w:r w:rsidRPr="002E5180">
              <w:rPr>
                <w:rFonts w:cs="Arial"/>
                <w:lang w:val="en-US"/>
              </w:rPr>
              <w:t>Ensur</w:t>
            </w:r>
            <w:r w:rsidR="002E5180">
              <w:rPr>
                <w:rFonts w:cs="Arial"/>
                <w:lang w:val="en-US"/>
              </w:rPr>
              <w:t>es</w:t>
            </w:r>
            <w:r w:rsidRPr="002E5180">
              <w:rPr>
                <w:rFonts w:cs="Arial"/>
                <w:lang w:val="en-US"/>
              </w:rPr>
              <w:t xml:space="preserve"> activists are up to date with the latest events and needs of the activist base via their regular reports”</w:t>
            </w:r>
          </w:p>
          <w:p w:rsidR="002E5180" w:rsidRPr="002E5180" w:rsidRDefault="002E5180" w:rsidP="002E5180">
            <w:pPr>
              <w:autoSpaceDE w:val="0"/>
              <w:autoSpaceDN w:val="0"/>
              <w:adjustRightInd w:val="0"/>
              <w:rPr>
                <w:rFonts w:cs="Arial"/>
              </w:rPr>
            </w:pPr>
          </w:p>
        </w:tc>
      </w:tr>
      <w:tr w:rsidR="00CA383B" w:rsidRPr="00C70B7A" w:rsidTr="00333C14">
        <w:tc>
          <w:tcPr>
            <w:tcW w:w="1702" w:type="dxa"/>
            <w:shd w:val="clear" w:color="auto" w:fill="D9D9D9" w:themeFill="background1" w:themeFillShade="D9"/>
          </w:tcPr>
          <w:p w:rsidR="00CA383B" w:rsidRPr="00C70B7A" w:rsidRDefault="00CA383B" w:rsidP="00D9315F">
            <w:pPr>
              <w:rPr>
                <w:rFonts w:ascii="Calibri" w:hAnsi="Calibri"/>
                <w:b/>
              </w:rPr>
            </w:pPr>
            <w:r w:rsidRPr="00C70B7A">
              <w:rPr>
                <w:rFonts w:ascii="Calibri" w:hAnsi="Calibri"/>
                <w:b/>
              </w:rPr>
              <w:lastRenderedPageBreak/>
              <w:t>Composition and co-option</w:t>
            </w:r>
          </w:p>
        </w:tc>
        <w:tc>
          <w:tcPr>
            <w:tcW w:w="8646" w:type="dxa"/>
          </w:tcPr>
          <w:p w:rsidR="002E5180" w:rsidRDefault="002E5180" w:rsidP="002E5180">
            <w:pPr>
              <w:autoSpaceDE w:val="0"/>
              <w:autoSpaceDN w:val="0"/>
              <w:adjustRightInd w:val="0"/>
              <w:rPr>
                <w:rFonts w:cs="Arial"/>
                <w:lang w:val="en-US"/>
              </w:rPr>
            </w:pPr>
            <w:r>
              <w:rPr>
                <w:rFonts w:cs="Arial"/>
                <w:lang w:val="en-US"/>
              </w:rPr>
              <w:t>Members on the sub-committee are one of two types:</w:t>
            </w:r>
          </w:p>
          <w:p w:rsidR="002E5180" w:rsidRDefault="00BD2902" w:rsidP="002E5180">
            <w:pPr>
              <w:pStyle w:val="ListParagraph"/>
              <w:numPr>
                <w:ilvl w:val="0"/>
                <w:numId w:val="7"/>
              </w:numPr>
              <w:autoSpaceDE w:val="0"/>
              <w:autoSpaceDN w:val="0"/>
              <w:adjustRightInd w:val="0"/>
              <w:rPr>
                <w:rFonts w:cs="Arial"/>
                <w:lang w:val="en-US"/>
              </w:rPr>
            </w:pPr>
            <w:r w:rsidRPr="002E5180">
              <w:rPr>
                <w:rFonts w:cs="Arial"/>
                <w:lang w:val="en-US"/>
              </w:rPr>
              <w:t>A formal representative of their member type</w:t>
            </w:r>
          </w:p>
          <w:p w:rsidR="00BD7AD6" w:rsidRDefault="00BD2902" w:rsidP="002E5180">
            <w:pPr>
              <w:pStyle w:val="ListParagraph"/>
              <w:numPr>
                <w:ilvl w:val="0"/>
                <w:numId w:val="7"/>
              </w:numPr>
              <w:autoSpaceDE w:val="0"/>
              <w:autoSpaceDN w:val="0"/>
              <w:adjustRightInd w:val="0"/>
              <w:rPr>
                <w:rFonts w:cs="Arial"/>
                <w:lang w:val="en-US"/>
              </w:rPr>
            </w:pPr>
            <w:r w:rsidRPr="002E5180">
              <w:rPr>
                <w:rFonts w:cs="Arial"/>
                <w:lang w:val="en-US"/>
              </w:rPr>
              <w:t xml:space="preserve">An advisor in as far as they represent their own expert opinion OR it is not possible to seek the views of the member types they represent </w:t>
            </w:r>
          </w:p>
          <w:p w:rsidR="002E5180" w:rsidRPr="002E5180" w:rsidRDefault="002E5180" w:rsidP="002E5180">
            <w:pPr>
              <w:pStyle w:val="ListParagraph"/>
              <w:autoSpaceDE w:val="0"/>
              <w:autoSpaceDN w:val="0"/>
              <w:adjustRightInd w:val="0"/>
              <w:rPr>
                <w:rFonts w:cs="Arial"/>
                <w:lang w:val="en-US"/>
              </w:rPr>
            </w:pPr>
          </w:p>
          <w:p w:rsidR="002E5180" w:rsidRPr="002E5180" w:rsidRDefault="002E5180" w:rsidP="002E5180">
            <w:pPr>
              <w:autoSpaceDE w:val="0"/>
              <w:autoSpaceDN w:val="0"/>
              <w:adjustRightInd w:val="0"/>
              <w:rPr>
                <w:rFonts w:cs="Arial"/>
                <w:lang w:val="en-US"/>
              </w:rPr>
            </w:pPr>
            <w:r w:rsidRPr="002E5180">
              <w:rPr>
                <w:rFonts w:cs="Arial"/>
                <w:lang w:val="en-US"/>
              </w:rPr>
              <w:t>Connected to these role types, the process of appointment would be one of three types:</w:t>
            </w:r>
          </w:p>
          <w:p w:rsidR="00BD7AD6" w:rsidRPr="002E5180" w:rsidRDefault="00BD2902" w:rsidP="002E5180">
            <w:pPr>
              <w:pStyle w:val="ListParagraph"/>
              <w:numPr>
                <w:ilvl w:val="0"/>
                <w:numId w:val="11"/>
              </w:numPr>
              <w:autoSpaceDE w:val="0"/>
              <w:autoSpaceDN w:val="0"/>
              <w:adjustRightInd w:val="0"/>
              <w:rPr>
                <w:rFonts w:cs="Arial"/>
                <w:lang w:val="en-US"/>
              </w:rPr>
            </w:pPr>
            <w:r w:rsidRPr="002E5180">
              <w:rPr>
                <w:rFonts w:cs="Arial"/>
                <w:lang w:val="en-US"/>
              </w:rPr>
              <w:t>Formally appointed by the representative body in order to represent it on the ASC i.e. a country coordinator is appointed by the CC steering committee to represent the CCs</w:t>
            </w:r>
          </w:p>
          <w:p w:rsidR="00BD7AD6" w:rsidRPr="002E5180" w:rsidRDefault="00BD2902" w:rsidP="002E5180">
            <w:pPr>
              <w:pStyle w:val="ListParagraph"/>
              <w:numPr>
                <w:ilvl w:val="0"/>
                <w:numId w:val="11"/>
              </w:numPr>
              <w:autoSpaceDE w:val="0"/>
              <w:autoSpaceDN w:val="0"/>
              <w:adjustRightInd w:val="0"/>
              <w:rPr>
                <w:rFonts w:cs="Arial"/>
                <w:lang w:val="en-US"/>
              </w:rPr>
            </w:pPr>
            <w:r w:rsidRPr="002E5180">
              <w:rPr>
                <w:rFonts w:cs="Arial"/>
                <w:lang w:val="en-US"/>
              </w:rPr>
              <w:t>Appointed by the Nominations Committee (where that person is an advisory capacity representing their expert opinion)</w:t>
            </w:r>
          </w:p>
          <w:p w:rsidR="00BD7AD6" w:rsidRPr="002E5180" w:rsidRDefault="00BD2902" w:rsidP="002E5180">
            <w:pPr>
              <w:pStyle w:val="ListParagraph"/>
              <w:numPr>
                <w:ilvl w:val="0"/>
                <w:numId w:val="11"/>
              </w:numPr>
              <w:autoSpaceDE w:val="0"/>
              <w:autoSpaceDN w:val="0"/>
              <w:adjustRightInd w:val="0"/>
              <w:rPr>
                <w:rFonts w:cs="Arial"/>
                <w:lang w:val="en-US"/>
              </w:rPr>
            </w:pPr>
            <w:r w:rsidRPr="002E5180">
              <w:rPr>
                <w:rFonts w:cs="Arial"/>
                <w:lang w:val="en-US"/>
              </w:rPr>
              <w:t>Co-opted by the ASC Chair, where there are gaps, but through an interview process</w:t>
            </w:r>
          </w:p>
          <w:p w:rsidR="00CA383B" w:rsidRDefault="00CA383B" w:rsidP="00C95AD0">
            <w:pPr>
              <w:rPr>
                <w:rFonts w:ascii="Cambria" w:eastAsia="Calibri" w:hAnsi="Cambria"/>
              </w:rPr>
            </w:pPr>
          </w:p>
          <w:p w:rsidR="002E5180" w:rsidRPr="002E5180" w:rsidRDefault="002E5180" w:rsidP="002E5180">
            <w:pPr>
              <w:autoSpaceDE w:val="0"/>
              <w:autoSpaceDN w:val="0"/>
              <w:adjustRightInd w:val="0"/>
              <w:rPr>
                <w:rFonts w:cs="Arial"/>
                <w:lang w:val="en-US"/>
              </w:rPr>
            </w:pPr>
            <w:r w:rsidRPr="002E5180">
              <w:rPr>
                <w:rFonts w:cs="Arial"/>
                <w:lang w:val="en-US"/>
              </w:rPr>
              <w:t xml:space="preserve">The following list describes the reserved seats and how members are appointed into those seats. </w:t>
            </w:r>
          </w:p>
          <w:p w:rsidR="002E5180" w:rsidRDefault="002E5180" w:rsidP="002E5180">
            <w:pPr>
              <w:pStyle w:val="ListParagraph"/>
              <w:numPr>
                <w:ilvl w:val="0"/>
                <w:numId w:val="12"/>
              </w:numPr>
              <w:autoSpaceDE w:val="0"/>
              <w:autoSpaceDN w:val="0"/>
              <w:adjustRightInd w:val="0"/>
              <w:rPr>
                <w:rFonts w:cs="Arial"/>
                <w:lang w:val="en-US"/>
              </w:rPr>
            </w:pPr>
            <w:r>
              <w:rPr>
                <w:rFonts w:cs="Arial"/>
                <w:lang w:val="en-US"/>
              </w:rPr>
              <w:t>Board member (Chair of the committee) – appointed by the Board</w:t>
            </w:r>
          </w:p>
          <w:p w:rsidR="002E5180" w:rsidRPr="002E5180" w:rsidRDefault="002E5180" w:rsidP="002E5180">
            <w:pPr>
              <w:pStyle w:val="ListParagraph"/>
              <w:numPr>
                <w:ilvl w:val="0"/>
                <w:numId w:val="12"/>
              </w:numPr>
              <w:autoSpaceDE w:val="0"/>
              <w:autoSpaceDN w:val="0"/>
              <w:adjustRightInd w:val="0"/>
              <w:rPr>
                <w:rFonts w:cs="Arial"/>
                <w:lang w:val="en-US"/>
              </w:rPr>
            </w:pPr>
            <w:r>
              <w:rPr>
                <w:rFonts w:cs="Arial"/>
                <w:lang w:val="en-US"/>
              </w:rPr>
              <w:t>Board member (vice-chair of the committee) – appointed by the Board</w:t>
            </w:r>
          </w:p>
          <w:p w:rsidR="002E5180" w:rsidRDefault="002E5180" w:rsidP="002E5180">
            <w:pPr>
              <w:pStyle w:val="ListParagraph"/>
              <w:numPr>
                <w:ilvl w:val="0"/>
                <w:numId w:val="12"/>
              </w:numPr>
              <w:autoSpaceDE w:val="0"/>
              <w:autoSpaceDN w:val="0"/>
              <w:adjustRightInd w:val="0"/>
              <w:rPr>
                <w:rFonts w:cs="Arial"/>
                <w:lang w:val="en-US"/>
              </w:rPr>
            </w:pPr>
            <w:r>
              <w:rPr>
                <w:rFonts w:cs="Arial"/>
                <w:lang w:val="en-US"/>
              </w:rPr>
              <w:t xml:space="preserve">Expert </w:t>
            </w:r>
            <w:r w:rsidR="00333C14">
              <w:rPr>
                <w:rFonts w:cs="Arial"/>
                <w:lang w:val="en-US"/>
              </w:rPr>
              <w:t xml:space="preserve">advisor </w:t>
            </w:r>
            <w:r>
              <w:rPr>
                <w:rFonts w:cs="Arial"/>
                <w:lang w:val="en-US"/>
              </w:rPr>
              <w:t>– appointed by the Nominations Committee</w:t>
            </w:r>
          </w:p>
          <w:p w:rsidR="002E5180" w:rsidRDefault="002E5180" w:rsidP="002E5180">
            <w:pPr>
              <w:pStyle w:val="ListParagraph"/>
              <w:numPr>
                <w:ilvl w:val="0"/>
                <w:numId w:val="12"/>
              </w:numPr>
              <w:autoSpaceDE w:val="0"/>
              <w:autoSpaceDN w:val="0"/>
              <w:adjustRightInd w:val="0"/>
              <w:rPr>
                <w:rFonts w:cs="Arial"/>
                <w:lang w:val="en-US"/>
              </w:rPr>
            </w:pPr>
            <w:r>
              <w:rPr>
                <w:rFonts w:cs="Arial"/>
                <w:lang w:val="en-US"/>
              </w:rPr>
              <w:t xml:space="preserve">Expert </w:t>
            </w:r>
            <w:r w:rsidR="00333C14">
              <w:rPr>
                <w:rFonts w:cs="Arial"/>
                <w:lang w:val="en-US"/>
              </w:rPr>
              <w:t xml:space="preserve">advisor </w:t>
            </w:r>
            <w:r>
              <w:rPr>
                <w:rFonts w:cs="Arial"/>
                <w:lang w:val="en-US"/>
              </w:rPr>
              <w:t>– appointed by the Nominations Committee</w:t>
            </w:r>
          </w:p>
          <w:p w:rsidR="002E5180" w:rsidRDefault="002E5180" w:rsidP="002E5180">
            <w:pPr>
              <w:pStyle w:val="ListParagraph"/>
              <w:numPr>
                <w:ilvl w:val="0"/>
                <w:numId w:val="12"/>
              </w:numPr>
              <w:autoSpaceDE w:val="0"/>
              <w:autoSpaceDN w:val="0"/>
              <w:adjustRightInd w:val="0"/>
              <w:rPr>
                <w:rFonts w:cs="Arial"/>
                <w:lang w:val="en-US"/>
              </w:rPr>
            </w:pPr>
            <w:r>
              <w:rPr>
                <w:rFonts w:cs="Arial"/>
                <w:lang w:val="en-US"/>
              </w:rPr>
              <w:t>Youth Advisory Group representative</w:t>
            </w:r>
            <w:r w:rsidR="00333C14">
              <w:rPr>
                <w:rFonts w:cs="Arial"/>
                <w:lang w:val="en-US"/>
              </w:rPr>
              <w:t xml:space="preserve"> – appointed via Nominations Committee with staff assistance</w:t>
            </w:r>
          </w:p>
          <w:p w:rsidR="002E5180" w:rsidRDefault="002E5180" w:rsidP="002E5180">
            <w:pPr>
              <w:pStyle w:val="ListParagraph"/>
              <w:numPr>
                <w:ilvl w:val="0"/>
                <w:numId w:val="12"/>
              </w:numPr>
              <w:autoSpaceDE w:val="0"/>
              <w:autoSpaceDN w:val="0"/>
              <w:adjustRightInd w:val="0"/>
              <w:rPr>
                <w:rFonts w:cs="Arial"/>
                <w:lang w:val="en-US"/>
              </w:rPr>
            </w:pPr>
            <w:r>
              <w:rPr>
                <w:rFonts w:cs="Arial"/>
                <w:lang w:val="en-US"/>
              </w:rPr>
              <w:t>School speakers and Adult trainers representative</w:t>
            </w:r>
            <w:r w:rsidR="00333C14">
              <w:rPr>
                <w:rFonts w:cs="Arial"/>
                <w:lang w:val="en-US"/>
              </w:rPr>
              <w:t xml:space="preserve"> – appointed via Nominations Committee with staff assistance</w:t>
            </w:r>
          </w:p>
          <w:p w:rsidR="002E5180" w:rsidRDefault="002E5180" w:rsidP="002E5180">
            <w:pPr>
              <w:pStyle w:val="ListParagraph"/>
              <w:numPr>
                <w:ilvl w:val="0"/>
                <w:numId w:val="12"/>
              </w:numPr>
              <w:autoSpaceDE w:val="0"/>
              <w:autoSpaceDN w:val="0"/>
              <w:adjustRightInd w:val="0"/>
              <w:rPr>
                <w:rFonts w:cs="Arial"/>
                <w:lang w:val="en-US"/>
              </w:rPr>
            </w:pPr>
            <w:r>
              <w:rPr>
                <w:rFonts w:cs="Arial"/>
                <w:lang w:val="en-US"/>
              </w:rPr>
              <w:t xml:space="preserve">Women’s, </w:t>
            </w:r>
            <w:proofErr w:type="spellStart"/>
            <w:r>
              <w:rPr>
                <w:rFonts w:cs="Arial"/>
                <w:lang w:val="en-US"/>
              </w:rPr>
              <w:t>LGBTi</w:t>
            </w:r>
            <w:proofErr w:type="spellEnd"/>
            <w:r>
              <w:rPr>
                <w:rFonts w:cs="Arial"/>
                <w:lang w:val="en-US"/>
              </w:rPr>
              <w:t xml:space="preserve"> and Children’s Rights Network committees representative</w:t>
            </w:r>
            <w:r w:rsidR="00333C14">
              <w:rPr>
                <w:rFonts w:cs="Arial"/>
                <w:lang w:val="en-US"/>
              </w:rPr>
              <w:t xml:space="preserve"> – appointed via Nominations Committee with staff assistance</w:t>
            </w:r>
          </w:p>
          <w:p w:rsidR="00333C14" w:rsidRPr="00633F72" w:rsidRDefault="002E5180" w:rsidP="00333C14">
            <w:pPr>
              <w:pStyle w:val="ListParagraph"/>
              <w:numPr>
                <w:ilvl w:val="0"/>
                <w:numId w:val="12"/>
              </w:numPr>
              <w:autoSpaceDE w:val="0"/>
              <w:autoSpaceDN w:val="0"/>
              <w:adjustRightInd w:val="0"/>
              <w:rPr>
                <w:rFonts w:cs="Arial"/>
              </w:rPr>
            </w:pPr>
            <w:r w:rsidRPr="00633F72">
              <w:rPr>
                <w:rFonts w:cs="Arial"/>
                <w:lang w:val="en-US"/>
              </w:rPr>
              <w:t>Trade Union Network committee representative</w:t>
            </w:r>
            <w:r w:rsidR="00333C14" w:rsidRPr="00633F72">
              <w:rPr>
                <w:rFonts w:cs="Arial"/>
                <w:lang w:val="en-US"/>
              </w:rPr>
              <w:t xml:space="preserve"> - </w:t>
            </w:r>
            <w:r w:rsidR="00333C14" w:rsidRPr="00633F72">
              <w:rPr>
                <w:rFonts w:cs="Arial"/>
              </w:rPr>
              <w:t>appointed via their representative body</w:t>
            </w:r>
          </w:p>
          <w:p w:rsidR="00333C14" w:rsidRPr="00633F72" w:rsidRDefault="002E5180" w:rsidP="00333C14">
            <w:pPr>
              <w:pStyle w:val="ListParagraph"/>
              <w:numPr>
                <w:ilvl w:val="0"/>
                <w:numId w:val="12"/>
              </w:numPr>
              <w:autoSpaceDE w:val="0"/>
              <w:autoSpaceDN w:val="0"/>
              <w:adjustRightInd w:val="0"/>
              <w:rPr>
                <w:rFonts w:cs="Arial"/>
              </w:rPr>
            </w:pPr>
            <w:r w:rsidRPr="00633F72">
              <w:rPr>
                <w:rFonts w:cs="Arial"/>
                <w:lang w:val="en-US"/>
              </w:rPr>
              <w:t>Student Action Network committee representative</w:t>
            </w:r>
            <w:r w:rsidR="00333C14" w:rsidRPr="00633F72">
              <w:rPr>
                <w:rFonts w:cs="Arial"/>
                <w:lang w:val="en-US"/>
              </w:rPr>
              <w:t xml:space="preserve"> - </w:t>
            </w:r>
            <w:r w:rsidR="00333C14" w:rsidRPr="00633F72">
              <w:rPr>
                <w:rFonts w:cs="Arial"/>
              </w:rPr>
              <w:t>appointed via their representative body</w:t>
            </w:r>
          </w:p>
          <w:p w:rsidR="00333C14" w:rsidRPr="00633F72" w:rsidRDefault="002E5180" w:rsidP="00333C14">
            <w:pPr>
              <w:pStyle w:val="ListParagraph"/>
              <w:numPr>
                <w:ilvl w:val="0"/>
                <w:numId w:val="12"/>
              </w:numPr>
              <w:autoSpaceDE w:val="0"/>
              <w:autoSpaceDN w:val="0"/>
              <w:adjustRightInd w:val="0"/>
              <w:rPr>
                <w:rFonts w:cs="Arial"/>
              </w:rPr>
            </w:pPr>
            <w:r w:rsidRPr="00633F72">
              <w:rPr>
                <w:rFonts w:cs="Arial"/>
                <w:lang w:val="en-US"/>
              </w:rPr>
              <w:t>Country Coordinator Steering Group representative</w:t>
            </w:r>
            <w:r w:rsidR="00333C14" w:rsidRPr="00633F72">
              <w:rPr>
                <w:rFonts w:cs="Arial"/>
                <w:lang w:val="en-US"/>
              </w:rPr>
              <w:t xml:space="preserve"> - </w:t>
            </w:r>
            <w:r w:rsidR="00333C14" w:rsidRPr="00633F72">
              <w:rPr>
                <w:rFonts w:cs="Arial"/>
              </w:rPr>
              <w:t>appointed via their representative body</w:t>
            </w:r>
          </w:p>
          <w:p w:rsidR="00333C14" w:rsidRPr="00633F72" w:rsidRDefault="002E5180" w:rsidP="00333C14">
            <w:pPr>
              <w:pStyle w:val="ListParagraph"/>
              <w:numPr>
                <w:ilvl w:val="0"/>
                <w:numId w:val="12"/>
              </w:numPr>
              <w:autoSpaceDE w:val="0"/>
              <w:autoSpaceDN w:val="0"/>
              <w:adjustRightInd w:val="0"/>
              <w:rPr>
                <w:rFonts w:cs="Arial"/>
              </w:rPr>
            </w:pPr>
            <w:r w:rsidRPr="00633F72">
              <w:rPr>
                <w:rFonts w:cs="Arial"/>
                <w:lang w:val="en-US"/>
              </w:rPr>
              <w:t xml:space="preserve">Regional Reps Forum representative </w:t>
            </w:r>
            <w:r w:rsidR="00333C14" w:rsidRPr="00633F72">
              <w:rPr>
                <w:rFonts w:cs="Arial"/>
                <w:lang w:val="en-US"/>
              </w:rPr>
              <w:t xml:space="preserve"> - </w:t>
            </w:r>
            <w:r w:rsidR="00333C14" w:rsidRPr="00633F72">
              <w:rPr>
                <w:rFonts w:cs="Arial"/>
              </w:rPr>
              <w:t>appointed via their representative body</w:t>
            </w:r>
          </w:p>
          <w:p w:rsidR="002E5180" w:rsidRPr="00633F72" w:rsidRDefault="002E5180" w:rsidP="00333C14">
            <w:pPr>
              <w:pStyle w:val="ListParagraph"/>
              <w:autoSpaceDE w:val="0"/>
              <w:autoSpaceDN w:val="0"/>
              <w:adjustRightInd w:val="0"/>
              <w:rPr>
                <w:rFonts w:cs="Arial"/>
                <w:lang w:val="en-US"/>
              </w:rPr>
            </w:pPr>
          </w:p>
          <w:p w:rsidR="002E5180" w:rsidRPr="00633F72" w:rsidRDefault="002E5180" w:rsidP="00333C14">
            <w:pPr>
              <w:autoSpaceDE w:val="0"/>
              <w:autoSpaceDN w:val="0"/>
              <w:adjustRightInd w:val="0"/>
              <w:rPr>
                <w:rFonts w:eastAsia="Calibri"/>
              </w:rPr>
            </w:pPr>
            <w:r w:rsidRPr="00633F72">
              <w:rPr>
                <w:rFonts w:cs="Arial"/>
                <w:lang w:val="en-US"/>
              </w:rPr>
              <w:t>Please note, at any one time, more than one person may be requested to fill one seat. One seat = one vote. This may occur during a hand-over period to support succession.</w:t>
            </w:r>
          </w:p>
          <w:p w:rsidR="002E5180" w:rsidRPr="00633F72" w:rsidRDefault="002E5180" w:rsidP="00C95AD0">
            <w:pPr>
              <w:rPr>
                <w:rFonts w:eastAsia="Calibri"/>
              </w:rPr>
            </w:pPr>
          </w:p>
          <w:p w:rsidR="00333C14" w:rsidRPr="00633F72" w:rsidRDefault="00333C14" w:rsidP="00333C14">
            <w:pPr>
              <w:pStyle w:val="Default"/>
              <w:contextualSpacing/>
              <w:rPr>
                <w:rFonts w:asciiTheme="minorHAnsi" w:hAnsiTheme="minorHAnsi"/>
                <w:b/>
                <w:sz w:val="22"/>
                <w:szCs w:val="22"/>
              </w:rPr>
            </w:pPr>
            <w:r w:rsidRPr="00633F72">
              <w:rPr>
                <w:rFonts w:asciiTheme="minorHAnsi" w:hAnsiTheme="minorHAnsi"/>
                <w:b/>
                <w:sz w:val="22"/>
                <w:szCs w:val="22"/>
              </w:rPr>
              <w:t>In attendance:</w:t>
            </w:r>
          </w:p>
          <w:p w:rsidR="00333C14" w:rsidRPr="00633F72" w:rsidRDefault="00333C14" w:rsidP="00333C14">
            <w:pPr>
              <w:pStyle w:val="Default"/>
              <w:contextualSpacing/>
              <w:rPr>
                <w:rFonts w:asciiTheme="minorHAnsi" w:hAnsiTheme="minorHAnsi"/>
                <w:b/>
                <w:sz w:val="22"/>
                <w:szCs w:val="22"/>
              </w:rPr>
            </w:pPr>
          </w:p>
          <w:p w:rsidR="00333C14" w:rsidRPr="00633F72" w:rsidRDefault="00333C14" w:rsidP="00333C14">
            <w:pPr>
              <w:rPr>
                <w:rFonts w:eastAsia="Calibri"/>
              </w:rPr>
            </w:pPr>
            <w:r w:rsidRPr="00633F72">
              <w:rPr>
                <w:rFonts w:eastAsia="Calibri"/>
              </w:rPr>
              <w:t>Director of Supporter Campaigning and Communications</w:t>
            </w:r>
          </w:p>
          <w:p w:rsidR="00333C14" w:rsidRPr="00633F72" w:rsidRDefault="00333C14" w:rsidP="00333C14">
            <w:pPr>
              <w:rPr>
                <w:rFonts w:eastAsia="Calibri"/>
              </w:rPr>
            </w:pPr>
            <w:r w:rsidRPr="00633F72">
              <w:rPr>
                <w:rFonts w:eastAsia="Calibri"/>
              </w:rPr>
              <w:t>Head of the COU, Human Rights Education, Events, Artists Liaison</w:t>
            </w:r>
          </w:p>
          <w:p w:rsidR="00333C14" w:rsidRPr="00633F72" w:rsidRDefault="00333C14" w:rsidP="00333C14">
            <w:pPr>
              <w:pStyle w:val="Default"/>
              <w:contextualSpacing/>
              <w:rPr>
                <w:rFonts w:asciiTheme="minorHAnsi" w:hAnsiTheme="minorHAnsi"/>
                <w:sz w:val="22"/>
                <w:szCs w:val="22"/>
              </w:rPr>
            </w:pPr>
            <w:r w:rsidRPr="00633F72">
              <w:rPr>
                <w:rFonts w:asciiTheme="minorHAnsi" w:eastAsia="Calibri" w:hAnsiTheme="minorHAnsi"/>
              </w:rPr>
              <w:t>Head of the Community Organising Unit</w:t>
            </w:r>
          </w:p>
          <w:p w:rsidR="00333C14" w:rsidRPr="00633F72" w:rsidRDefault="00333C14" w:rsidP="00333C14">
            <w:pPr>
              <w:pStyle w:val="Default"/>
              <w:contextualSpacing/>
              <w:rPr>
                <w:rFonts w:asciiTheme="minorHAnsi" w:hAnsiTheme="minorHAnsi"/>
                <w:sz w:val="22"/>
                <w:szCs w:val="22"/>
              </w:rPr>
            </w:pPr>
            <w:r w:rsidRPr="00633F72">
              <w:rPr>
                <w:rFonts w:asciiTheme="minorHAnsi" w:hAnsiTheme="minorHAnsi"/>
                <w:sz w:val="22"/>
                <w:szCs w:val="22"/>
              </w:rPr>
              <w:t>Secretary to the ASC (provided by COU)</w:t>
            </w:r>
          </w:p>
          <w:p w:rsidR="00333C14" w:rsidRPr="0059472B" w:rsidRDefault="00333C14" w:rsidP="00333C14">
            <w:pPr>
              <w:contextualSpacing/>
              <w:rPr>
                <w:rFonts w:ascii="Calibri" w:hAnsi="Calibri"/>
              </w:rPr>
            </w:pPr>
          </w:p>
          <w:p w:rsidR="00333C14" w:rsidRPr="0059472B" w:rsidRDefault="00333C14" w:rsidP="00333C14">
            <w:pPr>
              <w:contextualSpacing/>
              <w:rPr>
                <w:rFonts w:ascii="Calibri" w:hAnsi="Calibri"/>
              </w:rPr>
            </w:pPr>
            <w:r w:rsidRPr="0059472B">
              <w:rPr>
                <w:rFonts w:ascii="Calibri" w:hAnsi="Calibri"/>
              </w:rPr>
              <w:t xml:space="preserve">All other members of the Board will receive papers for the </w:t>
            </w:r>
            <w:r>
              <w:rPr>
                <w:rFonts w:ascii="Calibri" w:hAnsi="Calibri"/>
              </w:rPr>
              <w:t>A</w:t>
            </w:r>
            <w:r w:rsidRPr="0059472B">
              <w:rPr>
                <w:rFonts w:ascii="Calibri" w:hAnsi="Calibri"/>
              </w:rPr>
              <w:t xml:space="preserve">SC and have a standing invitation </w:t>
            </w:r>
            <w:r w:rsidRPr="0059472B">
              <w:rPr>
                <w:rFonts w:ascii="Calibri" w:hAnsi="Calibri"/>
              </w:rPr>
              <w:lastRenderedPageBreak/>
              <w:t>to attend.</w:t>
            </w:r>
          </w:p>
          <w:p w:rsidR="00333C14" w:rsidRPr="0059472B" w:rsidRDefault="00333C14" w:rsidP="00333C14">
            <w:pPr>
              <w:contextualSpacing/>
              <w:rPr>
                <w:rFonts w:ascii="Calibri" w:hAnsi="Calibri"/>
              </w:rPr>
            </w:pPr>
          </w:p>
          <w:p w:rsidR="00333C14" w:rsidRPr="0059472B" w:rsidRDefault="00333C14" w:rsidP="00333C14">
            <w:pPr>
              <w:contextualSpacing/>
              <w:rPr>
                <w:rFonts w:ascii="Calibri" w:hAnsi="Calibri"/>
              </w:rPr>
            </w:pPr>
            <w:r w:rsidRPr="0059472B">
              <w:rPr>
                <w:rFonts w:ascii="Calibri" w:hAnsi="Calibri"/>
              </w:rPr>
              <w:t>In addition to the above, and at the discretion of the Chair, other senior colleagues and external advisors will be invited to attend all, or part, of any meeting as and when appropriate.</w:t>
            </w:r>
          </w:p>
          <w:p w:rsidR="00333C14" w:rsidRPr="0059472B" w:rsidRDefault="00333C14" w:rsidP="00333C14">
            <w:pPr>
              <w:contextualSpacing/>
              <w:rPr>
                <w:rFonts w:ascii="Calibri" w:hAnsi="Calibri"/>
              </w:rPr>
            </w:pPr>
          </w:p>
          <w:p w:rsidR="00333C14" w:rsidRPr="0059472B" w:rsidRDefault="00333C14" w:rsidP="00333C14">
            <w:pPr>
              <w:contextualSpacing/>
              <w:rPr>
                <w:rFonts w:ascii="Calibri" w:hAnsi="Calibri"/>
              </w:rPr>
            </w:pPr>
            <w:r>
              <w:rPr>
                <w:rFonts w:ascii="Calibri" w:hAnsi="Calibri"/>
              </w:rPr>
              <w:t>In the Chair’s absence, the ASC may be chaired by the committee Vice-Chair or the Director of Supporter Campaigning and Communications as proposed by its Chair</w:t>
            </w:r>
            <w:r w:rsidRPr="0059472B">
              <w:rPr>
                <w:rFonts w:ascii="Calibri" w:hAnsi="Calibri"/>
              </w:rPr>
              <w:t>.</w:t>
            </w:r>
          </w:p>
          <w:p w:rsidR="00333C14" w:rsidRPr="0059472B" w:rsidRDefault="00333C14" w:rsidP="00333C14">
            <w:pPr>
              <w:contextualSpacing/>
              <w:rPr>
                <w:rFonts w:ascii="Calibri" w:hAnsi="Calibri"/>
              </w:rPr>
            </w:pPr>
          </w:p>
          <w:p w:rsidR="00333C14" w:rsidRDefault="00333C14" w:rsidP="00333C14">
            <w:pPr>
              <w:rPr>
                <w:rFonts w:ascii="Calibri" w:hAnsi="Calibri"/>
              </w:rPr>
            </w:pPr>
            <w:r w:rsidRPr="0059472B">
              <w:rPr>
                <w:rFonts w:ascii="Calibri" w:hAnsi="Calibri"/>
              </w:rPr>
              <w:t xml:space="preserve">The members of the Sub-Committee are expected to make every effort to attend all its meetings with the expectation that members will attend at least 80% of planned meetings in any one year.  </w:t>
            </w:r>
          </w:p>
          <w:p w:rsidR="00333C14" w:rsidRDefault="00333C14" w:rsidP="00333C14">
            <w:pPr>
              <w:rPr>
                <w:rFonts w:ascii="Calibri" w:hAnsi="Calibri"/>
              </w:rPr>
            </w:pPr>
          </w:p>
          <w:p w:rsidR="00333C14" w:rsidRPr="002E07D2" w:rsidRDefault="00333C14" w:rsidP="00333C14">
            <w:pPr>
              <w:rPr>
                <w:rFonts w:ascii="Cambria" w:eastAsia="Calibri" w:hAnsi="Cambria"/>
              </w:rPr>
            </w:pPr>
            <w:r w:rsidRPr="0059472B">
              <w:rPr>
                <w:rFonts w:ascii="Calibri" w:hAnsi="Calibri"/>
              </w:rPr>
              <w:t xml:space="preserve">Where this level of attendance is not achieved the Chair may review the continuance of membership of the individual concerned with the </w:t>
            </w:r>
            <w:r>
              <w:rPr>
                <w:rFonts w:ascii="Calibri" w:hAnsi="Calibri"/>
              </w:rPr>
              <w:t>Vice-Chair of the ASC and the Chair of the Board</w:t>
            </w:r>
            <w:r w:rsidRPr="0059472B">
              <w:rPr>
                <w:rFonts w:ascii="Calibri" w:hAnsi="Calibri"/>
              </w:rPr>
              <w:t>, where appropriate, recommend their replacement.</w:t>
            </w:r>
          </w:p>
        </w:tc>
      </w:tr>
      <w:tr w:rsidR="00CA383B" w:rsidRPr="00C70B7A" w:rsidTr="00333C14">
        <w:tc>
          <w:tcPr>
            <w:tcW w:w="1702" w:type="dxa"/>
            <w:shd w:val="clear" w:color="auto" w:fill="D9D9D9" w:themeFill="background1" w:themeFillShade="D9"/>
          </w:tcPr>
          <w:p w:rsidR="00CA383B" w:rsidRPr="00C70B7A" w:rsidRDefault="00CA383B" w:rsidP="00D9315F">
            <w:pPr>
              <w:rPr>
                <w:rFonts w:ascii="Calibri" w:hAnsi="Calibri"/>
                <w:b/>
              </w:rPr>
            </w:pPr>
            <w:r w:rsidRPr="00C70B7A">
              <w:rPr>
                <w:rFonts w:ascii="Calibri" w:hAnsi="Calibri"/>
                <w:b/>
              </w:rPr>
              <w:lastRenderedPageBreak/>
              <w:t>Meetings</w:t>
            </w:r>
          </w:p>
        </w:tc>
        <w:tc>
          <w:tcPr>
            <w:tcW w:w="8646" w:type="dxa"/>
          </w:tcPr>
          <w:p w:rsidR="00333C14" w:rsidRDefault="00333C14" w:rsidP="00333C14">
            <w:pPr>
              <w:pStyle w:val="Heading2"/>
              <w:contextualSpacing/>
              <w:outlineLvl w:val="1"/>
              <w:rPr>
                <w:rFonts w:ascii="Calibri" w:hAnsi="Calibri"/>
                <w:b w:val="0"/>
                <w:bCs/>
                <w:sz w:val="22"/>
                <w:szCs w:val="22"/>
              </w:rPr>
            </w:pPr>
            <w:r w:rsidRPr="0059472B">
              <w:rPr>
                <w:rFonts w:ascii="Calibri" w:hAnsi="Calibri"/>
                <w:b w:val="0"/>
                <w:bCs/>
                <w:sz w:val="22"/>
                <w:szCs w:val="22"/>
              </w:rPr>
              <w:t xml:space="preserve">The </w:t>
            </w:r>
            <w:r>
              <w:rPr>
                <w:rFonts w:ascii="Calibri" w:hAnsi="Calibri"/>
                <w:b w:val="0"/>
                <w:bCs/>
                <w:sz w:val="22"/>
                <w:szCs w:val="22"/>
              </w:rPr>
              <w:t>A</w:t>
            </w:r>
            <w:r w:rsidRPr="0059472B">
              <w:rPr>
                <w:rFonts w:ascii="Calibri" w:hAnsi="Calibri"/>
                <w:b w:val="0"/>
                <w:bCs/>
                <w:sz w:val="22"/>
                <w:szCs w:val="22"/>
              </w:rPr>
              <w:t xml:space="preserve">SC will typically meet </w:t>
            </w:r>
            <w:r>
              <w:rPr>
                <w:rFonts w:ascii="Calibri" w:hAnsi="Calibri"/>
                <w:b w:val="0"/>
                <w:bCs/>
                <w:sz w:val="22"/>
                <w:szCs w:val="22"/>
              </w:rPr>
              <w:t>five</w:t>
            </w:r>
            <w:r w:rsidRPr="0059472B">
              <w:rPr>
                <w:rFonts w:ascii="Calibri" w:hAnsi="Calibri"/>
                <w:b w:val="0"/>
                <w:bCs/>
                <w:sz w:val="22"/>
                <w:szCs w:val="22"/>
              </w:rPr>
              <w:t xml:space="preserve"> times a year, normally preceding Board meetings of AIUK.  </w:t>
            </w:r>
          </w:p>
          <w:p w:rsidR="00333C14" w:rsidRDefault="00333C14" w:rsidP="00333C14">
            <w:pPr>
              <w:pStyle w:val="Heading2"/>
              <w:contextualSpacing/>
              <w:outlineLvl w:val="1"/>
              <w:rPr>
                <w:rFonts w:ascii="Calibri" w:hAnsi="Calibri"/>
                <w:b w:val="0"/>
                <w:bCs/>
                <w:sz w:val="22"/>
                <w:szCs w:val="22"/>
              </w:rPr>
            </w:pPr>
          </w:p>
          <w:p w:rsidR="00333C14" w:rsidRPr="0059472B" w:rsidRDefault="00333C14" w:rsidP="00333C14">
            <w:pPr>
              <w:pStyle w:val="Heading2"/>
              <w:contextualSpacing/>
              <w:outlineLvl w:val="1"/>
              <w:rPr>
                <w:rFonts w:ascii="Calibri" w:hAnsi="Calibri"/>
                <w:b w:val="0"/>
                <w:bCs/>
                <w:sz w:val="22"/>
                <w:szCs w:val="22"/>
              </w:rPr>
            </w:pPr>
            <w:r w:rsidRPr="0059472B">
              <w:rPr>
                <w:rFonts w:ascii="Calibri" w:hAnsi="Calibri"/>
                <w:b w:val="0"/>
                <w:bCs/>
                <w:sz w:val="22"/>
                <w:szCs w:val="22"/>
              </w:rPr>
              <w:t>An agenda w</w:t>
            </w:r>
            <w:r w:rsidRPr="0059472B">
              <w:rPr>
                <w:rFonts w:ascii="Calibri" w:hAnsi="Calibri"/>
                <w:bCs/>
                <w:sz w:val="22"/>
                <w:szCs w:val="22"/>
              </w:rPr>
              <w:t>ill be i</w:t>
            </w:r>
            <w:r w:rsidRPr="0059472B">
              <w:rPr>
                <w:rFonts w:ascii="Calibri" w:hAnsi="Calibri"/>
                <w:b w:val="0"/>
                <w:bCs/>
                <w:sz w:val="22"/>
                <w:szCs w:val="22"/>
              </w:rPr>
              <w:t xml:space="preserve">ssued </w:t>
            </w:r>
            <w:r>
              <w:rPr>
                <w:rFonts w:ascii="Calibri" w:hAnsi="Calibri"/>
                <w:b w:val="0"/>
                <w:bCs/>
                <w:sz w:val="22"/>
                <w:szCs w:val="22"/>
              </w:rPr>
              <w:t xml:space="preserve">to members </w:t>
            </w:r>
            <w:r w:rsidRPr="0059472B">
              <w:rPr>
                <w:rFonts w:ascii="Calibri" w:hAnsi="Calibri"/>
                <w:b w:val="0"/>
                <w:bCs/>
                <w:sz w:val="22"/>
                <w:szCs w:val="22"/>
              </w:rPr>
              <w:t>at least 15 working days prior to any meeting, any requests from members for items to be included on the agenda should be sent to the Chair at least 10 working days before the meeting and the papers for the meeting will be dispatched, either electronically or by mail, at least 5 working days before the meeting.</w:t>
            </w:r>
          </w:p>
          <w:p w:rsidR="00333C14" w:rsidRPr="0059472B" w:rsidRDefault="00333C14" w:rsidP="00333C14">
            <w:pPr>
              <w:contextualSpacing/>
              <w:rPr>
                <w:rFonts w:ascii="Calibri" w:hAnsi="Calibri"/>
              </w:rPr>
            </w:pPr>
          </w:p>
          <w:p w:rsidR="00333C14" w:rsidRPr="0059472B" w:rsidRDefault="00333C14" w:rsidP="00333C14">
            <w:pPr>
              <w:contextualSpacing/>
              <w:rPr>
                <w:rFonts w:ascii="Calibri" w:hAnsi="Calibri"/>
              </w:rPr>
            </w:pPr>
            <w:r w:rsidRPr="0059472B">
              <w:rPr>
                <w:rFonts w:ascii="Calibri" w:hAnsi="Calibri"/>
              </w:rPr>
              <w:t>All decisions will be by a simple majority of those present.  In the case of equality, the Chair will have a casting vote.</w:t>
            </w:r>
          </w:p>
          <w:p w:rsidR="00333C14" w:rsidRPr="0059472B" w:rsidRDefault="00333C14" w:rsidP="00333C14">
            <w:pPr>
              <w:contextualSpacing/>
              <w:rPr>
                <w:rFonts w:ascii="Calibri" w:hAnsi="Calibri"/>
              </w:rPr>
            </w:pPr>
          </w:p>
          <w:p w:rsidR="00333C14" w:rsidRPr="0059472B" w:rsidRDefault="00333C14" w:rsidP="00333C14">
            <w:pPr>
              <w:contextualSpacing/>
              <w:rPr>
                <w:rFonts w:ascii="Calibri" w:hAnsi="Calibri"/>
              </w:rPr>
            </w:pPr>
            <w:r>
              <w:rPr>
                <w:rFonts w:ascii="Calibri" w:hAnsi="Calibri"/>
              </w:rPr>
              <w:t>A</w:t>
            </w:r>
            <w:r w:rsidRPr="0059472B">
              <w:rPr>
                <w:rFonts w:ascii="Calibri" w:hAnsi="Calibri"/>
              </w:rPr>
              <w:t>SC members will be expected to make a contribution to meetings in order to ensure the best decisions</w:t>
            </w:r>
            <w:r>
              <w:rPr>
                <w:rFonts w:ascii="Calibri" w:hAnsi="Calibri"/>
              </w:rPr>
              <w:t xml:space="preserve"> can be made, and to allow the A</w:t>
            </w:r>
            <w:r w:rsidRPr="0059472B">
              <w:rPr>
                <w:rFonts w:ascii="Calibri" w:hAnsi="Calibri"/>
              </w:rPr>
              <w:t>SC to fulfil its role and responsibilities.</w:t>
            </w:r>
          </w:p>
          <w:p w:rsidR="00333C14" w:rsidRPr="0059472B" w:rsidRDefault="00333C14" w:rsidP="00333C14">
            <w:pPr>
              <w:contextualSpacing/>
              <w:rPr>
                <w:rFonts w:ascii="Calibri" w:hAnsi="Calibri"/>
              </w:rPr>
            </w:pPr>
          </w:p>
          <w:p w:rsidR="00333C14" w:rsidRPr="0059472B" w:rsidRDefault="00333C14" w:rsidP="00333C14">
            <w:pPr>
              <w:contextualSpacing/>
              <w:rPr>
                <w:rFonts w:ascii="Calibri" w:hAnsi="Calibri"/>
              </w:rPr>
            </w:pPr>
            <w:r>
              <w:rPr>
                <w:rFonts w:ascii="Calibri" w:hAnsi="Calibri"/>
              </w:rPr>
              <w:t>A</w:t>
            </w:r>
            <w:r w:rsidRPr="0059472B">
              <w:rPr>
                <w:rFonts w:ascii="Calibri" w:hAnsi="Calibri"/>
              </w:rPr>
              <w:t>SC members will be expected to provide pertinent and professional challenge where appropriate, albeit demonstrating clear respect for colleagues and their views.</w:t>
            </w:r>
          </w:p>
          <w:p w:rsidR="00333C14" w:rsidRPr="0059472B" w:rsidRDefault="00333C14" w:rsidP="00333C14">
            <w:pPr>
              <w:contextualSpacing/>
              <w:rPr>
                <w:rFonts w:ascii="Calibri" w:hAnsi="Calibri"/>
              </w:rPr>
            </w:pPr>
          </w:p>
          <w:p w:rsidR="00CA383B" w:rsidRPr="002E07D2" w:rsidRDefault="00333C14" w:rsidP="00FB6FBB">
            <w:pPr>
              <w:rPr>
                <w:rFonts w:ascii="Cambria" w:eastAsia="Calibri" w:hAnsi="Cambria"/>
              </w:rPr>
            </w:pPr>
            <w:r>
              <w:rPr>
                <w:rFonts w:ascii="Calibri" w:hAnsi="Calibri"/>
              </w:rPr>
              <w:t>A</w:t>
            </w:r>
            <w:r w:rsidRPr="0059472B">
              <w:rPr>
                <w:rFonts w:ascii="Calibri" w:hAnsi="Calibri"/>
              </w:rPr>
              <w:t>SC members will be expected to maintain confidentiality in respect of all discussed issues where this is so required.</w:t>
            </w:r>
          </w:p>
        </w:tc>
      </w:tr>
      <w:tr w:rsidR="00C418AA" w:rsidRPr="00C70B7A" w:rsidTr="00333C14">
        <w:tc>
          <w:tcPr>
            <w:tcW w:w="1702" w:type="dxa"/>
            <w:shd w:val="clear" w:color="auto" w:fill="D9D9D9" w:themeFill="background1" w:themeFillShade="D9"/>
          </w:tcPr>
          <w:p w:rsidR="00C418AA" w:rsidRDefault="00C418AA" w:rsidP="00D9315F">
            <w:pPr>
              <w:rPr>
                <w:rFonts w:ascii="Calibri" w:hAnsi="Calibri"/>
                <w:b/>
              </w:rPr>
            </w:pPr>
            <w:r>
              <w:rPr>
                <w:rFonts w:ascii="Calibri" w:hAnsi="Calibri"/>
                <w:b/>
              </w:rPr>
              <w:t>Quorum</w:t>
            </w:r>
          </w:p>
        </w:tc>
        <w:tc>
          <w:tcPr>
            <w:tcW w:w="8646" w:type="dxa"/>
          </w:tcPr>
          <w:p w:rsidR="00C418AA" w:rsidRDefault="00C418AA" w:rsidP="00333C14">
            <w:pPr>
              <w:pStyle w:val="Default"/>
              <w:contextualSpacing/>
              <w:rPr>
                <w:rFonts w:ascii="Calibri" w:hAnsi="Calibri"/>
                <w:sz w:val="22"/>
                <w:szCs w:val="22"/>
              </w:rPr>
            </w:pPr>
            <w:r>
              <w:rPr>
                <w:rFonts w:ascii="Calibri" w:hAnsi="Calibri"/>
                <w:sz w:val="22"/>
                <w:szCs w:val="22"/>
              </w:rPr>
              <w:t>Quorum will be a minimum of 6 members.</w:t>
            </w:r>
          </w:p>
        </w:tc>
      </w:tr>
      <w:tr w:rsidR="00CA383B" w:rsidRPr="00C70B7A" w:rsidTr="00333C14">
        <w:tc>
          <w:tcPr>
            <w:tcW w:w="1702" w:type="dxa"/>
            <w:shd w:val="clear" w:color="auto" w:fill="D9D9D9" w:themeFill="background1" w:themeFillShade="D9"/>
          </w:tcPr>
          <w:p w:rsidR="00CA383B" w:rsidRPr="00C70B7A" w:rsidRDefault="00333C14" w:rsidP="00D9315F">
            <w:pPr>
              <w:rPr>
                <w:rFonts w:ascii="Calibri" w:hAnsi="Calibri"/>
                <w:b/>
              </w:rPr>
            </w:pPr>
            <w:r>
              <w:rPr>
                <w:rFonts w:ascii="Calibri" w:hAnsi="Calibri"/>
                <w:b/>
              </w:rPr>
              <w:t>Reporting and assurance arrangements</w:t>
            </w:r>
          </w:p>
        </w:tc>
        <w:tc>
          <w:tcPr>
            <w:tcW w:w="8646" w:type="dxa"/>
          </w:tcPr>
          <w:p w:rsidR="00333C14" w:rsidRPr="0059472B" w:rsidRDefault="00333C14" w:rsidP="00333C14">
            <w:pPr>
              <w:pStyle w:val="Default"/>
              <w:contextualSpacing/>
              <w:rPr>
                <w:rFonts w:ascii="Calibri" w:hAnsi="Calibri"/>
                <w:sz w:val="22"/>
                <w:szCs w:val="22"/>
              </w:rPr>
            </w:pPr>
            <w:r>
              <w:rPr>
                <w:rFonts w:ascii="Calibri" w:hAnsi="Calibri"/>
                <w:sz w:val="22"/>
                <w:szCs w:val="22"/>
              </w:rPr>
              <w:t>The A</w:t>
            </w:r>
            <w:r w:rsidRPr="0059472B">
              <w:rPr>
                <w:rFonts w:ascii="Calibri" w:hAnsi="Calibri"/>
                <w:sz w:val="22"/>
                <w:szCs w:val="22"/>
              </w:rPr>
              <w:t xml:space="preserve">SC, through its Chair, will provide routine written reports on its activities to the Board and will seek a steer on any matters that require the decision of the Boards and/or </w:t>
            </w:r>
            <w:r>
              <w:rPr>
                <w:rFonts w:ascii="Calibri" w:hAnsi="Calibri"/>
                <w:sz w:val="22"/>
                <w:szCs w:val="22"/>
              </w:rPr>
              <w:t xml:space="preserve">their </w:t>
            </w:r>
            <w:r w:rsidRPr="0059472B">
              <w:rPr>
                <w:rFonts w:ascii="Calibri" w:hAnsi="Calibri"/>
                <w:sz w:val="22"/>
                <w:szCs w:val="22"/>
              </w:rPr>
              <w:t>attention.</w:t>
            </w:r>
          </w:p>
          <w:p w:rsidR="00333C14" w:rsidRPr="0059472B" w:rsidRDefault="00333C14" w:rsidP="00333C14">
            <w:pPr>
              <w:pStyle w:val="Default"/>
              <w:contextualSpacing/>
              <w:rPr>
                <w:rFonts w:ascii="Calibri" w:hAnsi="Calibri"/>
                <w:sz w:val="22"/>
                <w:szCs w:val="22"/>
              </w:rPr>
            </w:pPr>
          </w:p>
          <w:p w:rsidR="00333C14" w:rsidRPr="0059472B" w:rsidRDefault="00333C14" w:rsidP="00333C14">
            <w:pPr>
              <w:contextualSpacing/>
              <w:rPr>
                <w:rFonts w:ascii="Calibri" w:hAnsi="Calibri"/>
              </w:rPr>
            </w:pPr>
            <w:r w:rsidRPr="0059472B">
              <w:rPr>
                <w:rFonts w:ascii="Calibri" w:hAnsi="Calibri"/>
              </w:rPr>
              <w:t xml:space="preserve">In order to ensure a strong </w:t>
            </w:r>
            <w:r>
              <w:rPr>
                <w:rFonts w:ascii="Calibri" w:hAnsi="Calibri"/>
              </w:rPr>
              <w:t>link with the movement,</w:t>
            </w:r>
            <w:r w:rsidR="00F628CB">
              <w:rPr>
                <w:rFonts w:ascii="Calibri" w:hAnsi="Calibri"/>
              </w:rPr>
              <w:t xml:space="preserve"> the A</w:t>
            </w:r>
            <w:r>
              <w:rPr>
                <w:rFonts w:ascii="Calibri" w:hAnsi="Calibri"/>
              </w:rPr>
              <w:t>SC will</w:t>
            </w:r>
            <w:r w:rsidRPr="0059472B">
              <w:rPr>
                <w:rFonts w:ascii="Calibri" w:hAnsi="Calibri"/>
              </w:rPr>
              <w:t xml:space="preserve"> produce regular reports for UK members on the </w:t>
            </w:r>
            <w:r w:rsidR="00F628CB">
              <w:rPr>
                <w:rFonts w:ascii="Calibri" w:hAnsi="Calibri"/>
              </w:rPr>
              <w:t xml:space="preserve">health, growth and impact of its activism </w:t>
            </w:r>
            <w:r w:rsidRPr="0059472B">
              <w:rPr>
                <w:rFonts w:ascii="Calibri" w:hAnsi="Calibri"/>
              </w:rPr>
              <w:t>also monitor</w:t>
            </w:r>
            <w:r>
              <w:rPr>
                <w:rFonts w:ascii="Calibri" w:hAnsi="Calibri"/>
              </w:rPr>
              <w:t xml:space="preserve"> the</w:t>
            </w:r>
            <w:r w:rsidRPr="0059472B">
              <w:rPr>
                <w:rFonts w:ascii="Calibri" w:hAnsi="Calibri"/>
              </w:rPr>
              <w:t xml:space="preserve"> implementation of any AGM/ICM re</w:t>
            </w:r>
            <w:r w:rsidR="00F628CB">
              <w:rPr>
                <w:rFonts w:ascii="Calibri" w:hAnsi="Calibri"/>
              </w:rPr>
              <w:t>solutions that fall within the A</w:t>
            </w:r>
            <w:r w:rsidRPr="0059472B">
              <w:rPr>
                <w:rFonts w:ascii="Calibri" w:hAnsi="Calibri"/>
              </w:rPr>
              <w:t>SC remit</w:t>
            </w:r>
            <w:r>
              <w:rPr>
                <w:rFonts w:ascii="Calibri" w:hAnsi="Calibri"/>
              </w:rPr>
              <w:t>.</w:t>
            </w:r>
          </w:p>
          <w:p w:rsidR="00333C14" w:rsidRPr="0059472B" w:rsidRDefault="00333C14" w:rsidP="00333C14">
            <w:pPr>
              <w:pStyle w:val="Default"/>
              <w:contextualSpacing/>
              <w:rPr>
                <w:rFonts w:ascii="Calibri" w:hAnsi="Calibri"/>
                <w:sz w:val="22"/>
                <w:szCs w:val="22"/>
              </w:rPr>
            </w:pPr>
          </w:p>
          <w:p w:rsidR="00333C14" w:rsidRPr="0059472B" w:rsidRDefault="00F628CB" w:rsidP="00333C14">
            <w:pPr>
              <w:pStyle w:val="Default"/>
              <w:contextualSpacing/>
              <w:rPr>
                <w:rFonts w:ascii="Calibri" w:hAnsi="Calibri"/>
                <w:sz w:val="22"/>
                <w:szCs w:val="22"/>
              </w:rPr>
            </w:pPr>
            <w:r>
              <w:rPr>
                <w:rFonts w:ascii="Calibri" w:hAnsi="Calibri"/>
                <w:sz w:val="22"/>
                <w:szCs w:val="22"/>
              </w:rPr>
              <w:t>The A</w:t>
            </w:r>
            <w:r w:rsidR="00333C14" w:rsidRPr="0059472B">
              <w:rPr>
                <w:rFonts w:ascii="Calibri" w:hAnsi="Calibri"/>
                <w:sz w:val="22"/>
                <w:szCs w:val="22"/>
              </w:rPr>
              <w:t>SC will evaluate its own performance at least annually so as to provide assurance to the Board that it continues to operate at maximum effectiveness.</w:t>
            </w:r>
          </w:p>
          <w:p w:rsidR="00333C14" w:rsidRPr="0059472B" w:rsidRDefault="00333C14" w:rsidP="00333C14">
            <w:pPr>
              <w:pStyle w:val="Default"/>
              <w:contextualSpacing/>
              <w:rPr>
                <w:rFonts w:ascii="Calibri" w:hAnsi="Calibri"/>
                <w:sz w:val="22"/>
                <w:szCs w:val="22"/>
              </w:rPr>
            </w:pPr>
          </w:p>
          <w:p w:rsidR="00333C14" w:rsidRDefault="00333C14" w:rsidP="00333C14">
            <w:pPr>
              <w:pStyle w:val="Default"/>
              <w:contextualSpacing/>
              <w:rPr>
                <w:rFonts w:ascii="Calibri" w:hAnsi="Calibri"/>
                <w:sz w:val="22"/>
                <w:szCs w:val="22"/>
              </w:rPr>
            </w:pPr>
            <w:r w:rsidRPr="0059472B">
              <w:rPr>
                <w:rFonts w:ascii="Calibri" w:hAnsi="Calibri"/>
                <w:sz w:val="22"/>
                <w:szCs w:val="22"/>
              </w:rPr>
              <w:t>The Chair will conduct a formal evaluat</w:t>
            </w:r>
            <w:r w:rsidR="00F628CB">
              <w:rPr>
                <w:rFonts w:ascii="Calibri" w:hAnsi="Calibri"/>
                <w:sz w:val="22"/>
                <w:szCs w:val="22"/>
              </w:rPr>
              <w:t>ion of the effectiveness of the A</w:t>
            </w:r>
            <w:r w:rsidRPr="0059472B">
              <w:rPr>
                <w:rFonts w:ascii="Calibri" w:hAnsi="Calibri"/>
                <w:sz w:val="22"/>
                <w:szCs w:val="22"/>
              </w:rPr>
              <w:t xml:space="preserve">SC on an annual basis with the support of the </w:t>
            </w:r>
            <w:r w:rsidR="00F628CB">
              <w:rPr>
                <w:rFonts w:ascii="Calibri" w:hAnsi="Calibri"/>
                <w:sz w:val="22"/>
                <w:szCs w:val="22"/>
              </w:rPr>
              <w:t>A</w:t>
            </w:r>
            <w:r w:rsidRPr="0059472B">
              <w:rPr>
                <w:rFonts w:ascii="Calibri" w:hAnsi="Calibri"/>
                <w:sz w:val="22"/>
                <w:szCs w:val="22"/>
              </w:rPr>
              <w:t>SC’s secretary.  This will include a review of the membership and any proposed changes will be recommended to the Board.</w:t>
            </w:r>
          </w:p>
          <w:p w:rsidR="00333C14" w:rsidRDefault="00333C14" w:rsidP="00333C14">
            <w:pPr>
              <w:pStyle w:val="Default"/>
              <w:contextualSpacing/>
              <w:rPr>
                <w:rFonts w:ascii="Calibri" w:hAnsi="Calibri"/>
                <w:sz w:val="22"/>
                <w:szCs w:val="22"/>
              </w:rPr>
            </w:pPr>
          </w:p>
          <w:p w:rsidR="00333C14" w:rsidRDefault="00333C14" w:rsidP="00333C14">
            <w:pPr>
              <w:pStyle w:val="Default"/>
              <w:contextualSpacing/>
              <w:rPr>
                <w:rFonts w:ascii="Calibri" w:hAnsi="Calibri"/>
                <w:sz w:val="22"/>
                <w:szCs w:val="22"/>
              </w:rPr>
            </w:pPr>
            <w:r>
              <w:rPr>
                <w:rFonts w:ascii="Calibri" w:hAnsi="Calibri"/>
                <w:sz w:val="22"/>
                <w:szCs w:val="22"/>
              </w:rPr>
              <w:t xml:space="preserve">An action log will be maintained that will identify individuals and appropriate timelines for </w:t>
            </w:r>
            <w:r>
              <w:rPr>
                <w:rFonts w:ascii="Calibri" w:hAnsi="Calibri"/>
                <w:sz w:val="22"/>
                <w:szCs w:val="22"/>
              </w:rPr>
              <w:lastRenderedPageBreak/>
              <w:t>specific tasks, progress against which will be actively monitored at subsequent meetings.</w:t>
            </w:r>
          </w:p>
          <w:p w:rsidR="00333C14" w:rsidRDefault="00333C14" w:rsidP="00333C14">
            <w:pPr>
              <w:pStyle w:val="Default"/>
              <w:contextualSpacing/>
              <w:rPr>
                <w:rFonts w:ascii="Calibri" w:hAnsi="Calibri"/>
                <w:sz w:val="22"/>
                <w:szCs w:val="22"/>
              </w:rPr>
            </w:pPr>
          </w:p>
          <w:p w:rsidR="00CA383B" w:rsidRPr="002E07D2" w:rsidRDefault="00333C14" w:rsidP="00333C14">
            <w:pPr>
              <w:rPr>
                <w:rFonts w:ascii="Cambria" w:eastAsia="Calibri" w:hAnsi="Cambria"/>
              </w:rPr>
            </w:pPr>
            <w:r>
              <w:rPr>
                <w:rFonts w:ascii="Calibri" w:hAnsi="Calibri"/>
              </w:rPr>
              <w:t>A forward work plan will be maintained so as to provide clarity and assurance over anticipated future activities.</w:t>
            </w:r>
          </w:p>
        </w:tc>
      </w:tr>
      <w:tr w:rsidR="00333C14" w:rsidRPr="00C70B7A" w:rsidTr="00333C14">
        <w:tc>
          <w:tcPr>
            <w:tcW w:w="1702" w:type="dxa"/>
            <w:shd w:val="clear" w:color="auto" w:fill="D9D9D9" w:themeFill="background1" w:themeFillShade="D9"/>
          </w:tcPr>
          <w:p w:rsidR="00333C14" w:rsidRDefault="00333C14" w:rsidP="00333C14">
            <w:pPr>
              <w:rPr>
                <w:rFonts w:ascii="Calibri" w:hAnsi="Calibri"/>
                <w:b/>
              </w:rPr>
            </w:pPr>
            <w:r>
              <w:rPr>
                <w:rFonts w:ascii="Calibri" w:hAnsi="Calibri"/>
                <w:b/>
              </w:rPr>
              <w:lastRenderedPageBreak/>
              <w:t>Secretary</w:t>
            </w:r>
          </w:p>
        </w:tc>
        <w:tc>
          <w:tcPr>
            <w:tcW w:w="8646" w:type="dxa"/>
          </w:tcPr>
          <w:p w:rsidR="00333C14" w:rsidRDefault="00333C14" w:rsidP="00333C14">
            <w:pPr>
              <w:pStyle w:val="Heading2"/>
              <w:contextualSpacing/>
              <w:outlineLvl w:val="1"/>
              <w:rPr>
                <w:rFonts w:ascii="Calibri" w:hAnsi="Calibri"/>
                <w:b w:val="0"/>
                <w:bCs/>
                <w:sz w:val="22"/>
              </w:rPr>
            </w:pPr>
            <w:r>
              <w:rPr>
                <w:rFonts w:ascii="Calibri" w:hAnsi="Calibri"/>
                <w:b w:val="0"/>
                <w:bCs/>
                <w:sz w:val="22"/>
              </w:rPr>
              <w:t>The Director of Supporter Campaigning and Communications will ensure that secretariat services are provided to the ASC, including the taking of minutes, record of attendance and distribution of papers.</w:t>
            </w:r>
          </w:p>
          <w:p w:rsidR="00333C14" w:rsidRDefault="00333C14" w:rsidP="00333C14">
            <w:pPr>
              <w:contextualSpacing/>
            </w:pPr>
          </w:p>
          <w:p w:rsidR="00333C14" w:rsidRDefault="00333C14" w:rsidP="00333C14">
            <w:pPr>
              <w:rPr>
                <w:rFonts w:ascii="Calibri" w:hAnsi="Calibri"/>
                <w:bCs/>
              </w:rPr>
            </w:pPr>
            <w:r>
              <w:t>Approved minutes will be issued by the Chair, normally within 10 working days of the meeting and will list the topics discussed, actions agreed, and all individuals responsible for undertaking these actions.  These minutes will be taken to the ASC for adoption and will then be submitted to the following meetings of the Board.</w:t>
            </w:r>
          </w:p>
        </w:tc>
      </w:tr>
      <w:tr w:rsidR="00333C14" w:rsidRPr="00C70B7A" w:rsidTr="00333C14">
        <w:tc>
          <w:tcPr>
            <w:tcW w:w="1702" w:type="dxa"/>
            <w:shd w:val="clear" w:color="auto" w:fill="D9D9D9" w:themeFill="background1" w:themeFillShade="D9"/>
          </w:tcPr>
          <w:p w:rsidR="00333C14" w:rsidRPr="00C70B7A" w:rsidRDefault="00333C14" w:rsidP="00D9315F">
            <w:pPr>
              <w:rPr>
                <w:rFonts w:ascii="Calibri" w:hAnsi="Calibri"/>
                <w:b/>
              </w:rPr>
            </w:pPr>
            <w:r>
              <w:rPr>
                <w:rFonts w:ascii="Calibri" w:hAnsi="Calibri"/>
                <w:b/>
              </w:rPr>
              <w:t>Review</w:t>
            </w:r>
          </w:p>
        </w:tc>
        <w:tc>
          <w:tcPr>
            <w:tcW w:w="8646" w:type="dxa"/>
          </w:tcPr>
          <w:p w:rsidR="00333C14" w:rsidRPr="002E07D2" w:rsidRDefault="00333C14" w:rsidP="00333C14">
            <w:pPr>
              <w:rPr>
                <w:rFonts w:ascii="Cambria" w:eastAsia="Calibri" w:hAnsi="Cambria"/>
              </w:rPr>
            </w:pPr>
            <w:r>
              <w:rPr>
                <w:rFonts w:ascii="Calibri" w:hAnsi="Calibri"/>
                <w:bCs/>
              </w:rPr>
              <w:t>These Terms of Reference will be reviewed annually.  Any changes that are considered necessary will be recommended to the Board for approval.</w:t>
            </w:r>
          </w:p>
        </w:tc>
      </w:tr>
    </w:tbl>
    <w:p w:rsidR="00D9315F" w:rsidRDefault="00D9315F" w:rsidP="00D9315F"/>
    <w:p w:rsidR="00D9315F" w:rsidRPr="00D9315F" w:rsidRDefault="00D9315F" w:rsidP="00D9315F"/>
    <w:p w:rsidR="00D9315F" w:rsidRDefault="00D9315F" w:rsidP="00D9315F"/>
    <w:p w:rsidR="00C70B7A" w:rsidRPr="00D9315F" w:rsidRDefault="00C70B7A">
      <w:pPr>
        <w:tabs>
          <w:tab w:val="left" w:pos="1065"/>
        </w:tabs>
      </w:pPr>
    </w:p>
    <w:sectPr w:rsidR="00C70B7A" w:rsidRPr="00D931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98" w:rsidRDefault="00E44F98" w:rsidP="00D9315F">
      <w:pPr>
        <w:spacing w:after="0" w:line="240" w:lineRule="auto"/>
      </w:pPr>
      <w:r>
        <w:separator/>
      </w:r>
    </w:p>
  </w:endnote>
  <w:endnote w:type="continuationSeparator" w:id="0">
    <w:p w:rsidR="00E44F98" w:rsidRDefault="00E44F98" w:rsidP="00D9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5F" w:rsidRDefault="00F628CB" w:rsidP="00D9315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Last updated 7</w:t>
    </w:r>
    <w:r w:rsidR="00D9315F" w:rsidRPr="00D9315F">
      <w:rPr>
        <w:rFonts w:asciiTheme="majorHAnsi" w:eastAsiaTheme="majorEastAsia" w:hAnsiTheme="majorHAnsi" w:cstheme="majorBidi"/>
        <w:vertAlign w:val="superscript"/>
      </w:rPr>
      <w:t>th</w:t>
    </w:r>
    <w:r>
      <w:rPr>
        <w:rFonts w:asciiTheme="majorHAnsi" w:eastAsiaTheme="majorEastAsia" w:hAnsiTheme="majorHAnsi" w:cstheme="majorBidi"/>
      </w:rPr>
      <w:t xml:space="preserve"> December</w:t>
    </w:r>
    <w:r w:rsidR="00D9315F">
      <w:rPr>
        <w:rFonts w:asciiTheme="majorHAnsi" w:eastAsiaTheme="majorEastAsia" w:hAnsiTheme="majorHAnsi" w:cstheme="majorBidi"/>
      </w:rPr>
      <w:t xml:space="preserve"> 2014 by Donna Driscoll</w:t>
    </w:r>
    <w:r w:rsidR="00D9315F">
      <w:rPr>
        <w:rFonts w:asciiTheme="majorHAnsi" w:eastAsiaTheme="majorEastAsia" w:hAnsiTheme="majorHAnsi" w:cstheme="majorBidi"/>
      </w:rPr>
      <w:ptab w:relativeTo="margin" w:alignment="right" w:leader="none"/>
    </w:r>
  </w:p>
  <w:p w:rsidR="00D9315F" w:rsidRDefault="00D93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98" w:rsidRDefault="00E44F98" w:rsidP="00D9315F">
      <w:pPr>
        <w:spacing w:after="0" w:line="240" w:lineRule="auto"/>
      </w:pPr>
      <w:r>
        <w:separator/>
      </w:r>
    </w:p>
  </w:footnote>
  <w:footnote w:type="continuationSeparator" w:id="0">
    <w:p w:rsidR="00E44F98" w:rsidRDefault="00E44F98" w:rsidP="00D93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702F0C71688427E84BB015FE737D7AE"/>
      </w:placeholder>
      <w:dataBinding w:prefixMappings="xmlns:ns0='http://schemas.openxmlformats.org/package/2006/metadata/core-properties' xmlns:ns1='http://purl.org/dc/elements/1.1/'" w:xpath="/ns0:coreProperties[1]/ns1:title[1]" w:storeItemID="{6C3C8BC8-F283-45AE-878A-BAB7291924A1}"/>
      <w:text/>
    </w:sdtPr>
    <w:sdtEndPr/>
    <w:sdtContent>
      <w:p w:rsidR="00D9315F" w:rsidRDefault="002E518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Board Sub-</w:t>
        </w:r>
        <w:r w:rsidR="004E5AA5">
          <w:rPr>
            <w:rFonts w:asciiTheme="majorHAnsi" w:eastAsiaTheme="majorEastAsia" w:hAnsiTheme="majorHAnsi" w:cstheme="majorBidi"/>
            <w:sz w:val="32"/>
            <w:szCs w:val="32"/>
          </w:rPr>
          <w:t>Committee</w:t>
        </w:r>
        <w:r w:rsidR="00D9315F">
          <w:rPr>
            <w:rFonts w:asciiTheme="majorHAnsi" w:eastAsiaTheme="majorEastAsia" w:hAnsiTheme="majorHAnsi" w:cstheme="majorBidi"/>
            <w:sz w:val="32"/>
            <w:szCs w:val="32"/>
          </w:rPr>
          <w:t xml:space="preserve"> Terms of Reference</w:t>
        </w:r>
      </w:p>
    </w:sdtContent>
  </w:sdt>
  <w:p w:rsidR="00D9315F" w:rsidRDefault="00D93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CFF"/>
    <w:multiLevelType w:val="hybridMultilevel"/>
    <w:tmpl w:val="CB2AA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B1711"/>
    <w:multiLevelType w:val="hybridMultilevel"/>
    <w:tmpl w:val="3766CB1A"/>
    <w:lvl w:ilvl="0" w:tplc="238ABC7A">
      <w:start w:val="1"/>
      <w:numFmt w:val="bullet"/>
      <w:lvlText w:val="-"/>
      <w:lvlJc w:val="left"/>
      <w:pPr>
        <w:tabs>
          <w:tab w:val="num" w:pos="720"/>
        </w:tabs>
        <w:ind w:left="720" w:hanging="360"/>
      </w:pPr>
      <w:rPr>
        <w:rFonts w:ascii="Times New Roman" w:hAnsi="Times New Roman" w:hint="default"/>
      </w:rPr>
    </w:lvl>
    <w:lvl w:ilvl="1" w:tplc="18586AC6" w:tentative="1">
      <w:start w:val="1"/>
      <w:numFmt w:val="bullet"/>
      <w:lvlText w:val="-"/>
      <w:lvlJc w:val="left"/>
      <w:pPr>
        <w:tabs>
          <w:tab w:val="num" w:pos="1440"/>
        </w:tabs>
        <w:ind w:left="1440" w:hanging="360"/>
      </w:pPr>
      <w:rPr>
        <w:rFonts w:ascii="Times New Roman" w:hAnsi="Times New Roman" w:hint="default"/>
      </w:rPr>
    </w:lvl>
    <w:lvl w:ilvl="2" w:tplc="98961748" w:tentative="1">
      <w:start w:val="1"/>
      <w:numFmt w:val="bullet"/>
      <w:lvlText w:val="-"/>
      <w:lvlJc w:val="left"/>
      <w:pPr>
        <w:tabs>
          <w:tab w:val="num" w:pos="2160"/>
        </w:tabs>
        <w:ind w:left="2160" w:hanging="360"/>
      </w:pPr>
      <w:rPr>
        <w:rFonts w:ascii="Times New Roman" w:hAnsi="Times New Roman" w:hint="default"/>
      </w:rPr>
    </w:lvl>
    <w:lvl w:ilvl="3" w:tplc="7B40D05C" w:tentative="1">
      <w:start w:val="1"/>
      <w:numFmt w:val="bullet"/>
      <w:lvlText w:val="-"/>
      <w:lvlJc w:val="left"/>
      <w:pPr>
        <w:tabs>
          <w:tab w:val="num" w:pos="2880"/>
        </w:tabs>
        <w:ind w:left="2880" w:hanging="360"/>
      </w:pPr>
      <w:rPr>
        <w:rFonts w:ascii="Times New Roman" w:hAnsi="Times New Roman" w:hint="default"/>
      </w:rPr>
    </w:lvl>
    <w:lvl w:ilvl="4" w:tplc="E786A946" w:tentative="1">
      <w:start w:val="1"/>
      <w:numFmt w:val="bullet"/>
      <w:lvlText w:val="-"/>
      <w:lvlJc w:val="left"/>
      <w:pPr>
        <w:tabs>
          <w:tab w:val="num" w:pos="3600"/>
        </w:tabs>
        <w:ind w:left="3600" w:hanging="360"/>
      </w:pPr>
      <w:rPr>
        <w:rFonts w:ascii="Times New Roman" w:hAnsi="Times New Roman" w:hint="default"/>
      </w:rPr>
    </w:lvl>
    <w:lvl w:ilvl="5" w:tplc="8DCAF4A8" w:tentative="1">
      <w:start w:val="1"/>
      <w:numFmt w:val="bullet"/>
      <w:lvlText w:val="-"/>
      <w:lvlJc w:val="left"/>
      <w:pPr>
        <w:tabs>
          <w:tab w:val="num" w:pos="4320"/>
        </w:tabs>
        <w:ind w:left="4320" w:hanging="360"/>
      </w:pPr>
      <w:rPr>
        <w:rFonts w:ascii="Times New Roman" w:hAnsi="Times New Roman" w:hint="default"/>
      </w:rPr>
    </w:lvl>
    <w:lvl w:ilvl="6" w:tplc="76CAB1BE" w:tentative="1">
      <w:start w:val="1"/>
      <w:numFmt w:val="bullet"/>
      <w:lvlText w:val="-"/>
      <w:lvlJc w:val="left"/>
      <w:pPr>
        <w:tabs>
          <w:tab w:val="num" w:pos="5040"/>
        </w:tabs>
        <w:ind w:left="5040" w:hanging="360"/>
      </w:pPr>
      <w:rPr>
        <w:rFonts w:ascii="Times New Roman" w:hAnsi="Times New Roman" w:hint="default"/>
      </w:rPr>
    </w:lvl>
    <w:lvl w:ilvl="7" w:tplc="586227FE" w:tentative="1">
      <w:start w:val="1"/>
      <w:numFmt w:val="bullet"/>
      <w:lvlText w:val="-"/>
      <w:lvlJc w:val="left"/>
      <w:pPr>
        <w:tabs>
          <w:tab w:val="num" w:pos="5760"/>
        </w:tabs>
        <w:ind w:left="5760" w:hanging="360"/>
      </w:pPr>
      <w:rPr>
        <w:rFonts w:ascii="Times New Roman" w:hAnsi="Times New Roman" w:hint="default"/>
      </w:rPr>
    </w:lvl>
    <w:lvl w:ilvl="8" w:tplc="877659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9D073D"/>
    <w:multiLevelType w:val="hybridMultilevel"/>
    <w:tmpl w:val="DEE80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F6571A"/>
    <w:multiLevelType w:val="hybridMultilevel"/>
    <w:tmpl w:val="3FC84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64501B"/>
    <w:multiLevelType w:val="hybridMultilevel"/>
    <w:tmpl w:val="C38091EA"/>
    <w:lvl w:ilvl="0" w:tplc="49D85DB0">
      <w:start w:val="1"/>
      <w:numFmt w:val="bullet"/>
      <w:lvlText w:val="-"/>
      <w:lvlJc w:val="left"/>
      <w:pPr>
        <w:tabs>
          <w:tab w:val="num" w:pos="720"/>
        </w:tabs>
        <w:ind w:left="720" w:hanging="360"/>
      </w:pPr>
      <w:rPr>
        <w:rFonts w:ascii="Times New Roman" w:hAnsi="Times New Roman" w:hint="default"/>
      </w:rPr>
    </w:lvl>
    <w:lvl w:ilvl="1" w:tplc="8F9608AC">
      <w:start w:val="1503"/>
      <w:numFmt w:val="bullet"/>
      <w:lvlText w:val="o"/>
      <w:lvlJc w:val="left"/>
      <w:pPr>
        <w:tabs>
          <w:tab w:val="num" w:pos="1440"/>
        </w:tabs>
        <w:ind w:left="1440" w:hanging="360"/>
      </w:pPr>
      <w:rPr>
        <w:rFonts w:ascii="Courier New" w:hAnsi="Courier New" w:hint="default"/>
      </w:rPr>
    </w:lvl>
    <w:lvl w:ilvl="2" w:tplc="01AC8254" w:tentative="1">
      <w:start w:val="1"/>
      <w:numFmt w:val="bullet"/>
      <w:lvlText w:val="-"/>
      <w:lvlJc w:val="left"/>
      <w:pPr>
        <w:tabs>
          <w:tab w:val="num" w:pos="2160"/>
        </w:tabs>
        <w:ind w:left="2160" w:hanging="360"/>
      </w:pPr>
      <w:rPr>
        <w:rFonts w:ascii="Times New Roman" w:hAnsi="Times New Roman" w:hint="default"/>
      </w:rPr>
    </w:lvl>
    <w:lvl w:ilvl="3" w:tplc="4EC8DECE" w:tentative="1">
      <w:start w:val="1"/>
      <w:numFmt w:val="bullet"/>
      <w:lvlText w:val="-"/>
      <w:lvlJc w:val="left"/>
      <w:pPr>
        <w:tabs>
          <w:tab w:val="num" w:pos="2880"/>
        </w:tabs>
        <w:ind w:left="2880" w:hanging="360"/>
      </w:pPr>
      <w:rPr>
        <w:rFonts w:ascii="Times New Roman" w:hAnsi="Times New Roman" w:hint="default"/>
      </w:rPr>
    </w:lvl>
    <w:lvl w:ilvl="4" w:tplc="2D1AC8BE" w:tentative="1">
      <w:start w:val="1"/>
      <w:numFmt w:val="bullet"/>
      <w:lvlText w:val="-"/>
      <w:lvlJc w:val="left"/>
      <w:pPr>
        <w:tabs>
          <w:tab w:val="num" w:pos="3600"/>
        </w:tabs>
        <w:ind w:left="3600" w:hanging="360"/>
      </w:pPr>
      <w:rPr>
        <w:rFonts w:ascii="Times New Roman" w:hAnsi="Times New Roman" w:hint="default"/>
      </w:rPr>
    </w:lvl>
    <w:lvl w:ilvl="5" w:tplc="DD56B24A" w:tentative="1">
      <w:start w:val="1"/>
      <w:numFmt w:val="bullet"/>
      <w:lvlText w:val="-"/>
      <w:lvlJc w:val="left"/>
      <w:pPr>
        <w:tabs>
          <w:tab w:val="num" w:pos="4320"/>
        </w:tabs>
        <w:ind w:left="4320" w:hanging="360"/>
      </w:pPr>
      <w:rPr>
        <w:rFonts w:ascii="Times New Roman" w:hAnsi="Times New Roman" w:hint="default"/>
      </w:rPr>
    </w:lvl>
    <w:lvl w:ilvl="6" w:tplc="48C069F2" w:tentative="1">
      <w:start w:val="1"/>
      <w:numFmt w:val="bullet"/>
      <w:lvlText w:val="-"/>
      <w:lvlJc w:val="left"/>
      <w:pPr>
        <w:tabs>
          <w:tab w:val="num" w:pos="5040"/>
        </w:tabs>
        <w:ind w:left="5040" w:hanging="360"/>
      </w:pPr>
      <w:rPr>
        <w:rFonts w:ascii="Times New Roman" w:hAnsi="Times New Roman" w:hint="default"/>
      </w:rPr>
    </w:lvl>
    <w:lvl w:ilvl="7" w:tplc="C6D4594A" w:tentative="1">
      <w:start w:val="1"/>
      <w:numFmt w:val="bullet"/>
      <w:lvlText w:val="-"/>
      <w:lvlJc w:val="left"/>
      <w:pPr>
        <w:tabs>
          <w:tab w:val="num" w:pos="5760"/>
        </w:tabs>
        <w:ind w:left="5760" w:hanging="360"/>
      </w:pPr>
      <w:rPr>
        <w:rFonts w:ascii="Times New Roman" w:hAnsi="Times New Roman" w:hint="default"/>
      </w:rPr>
    </w:lvl>
    <w:lvl w:ilvl="8" w:tplc="E85A5F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C9066A"/>
    <w:multiLevelType w:val="hybridMultilevel"/>
    <w:tmpl w:val="90742C1E"/>
    <w:lvl w:ilvl="0" w:tplc="EB048D54">
      <w:start w:val="1"/>
      <w:numFmt w:val="bullet"/>
      <w:lvlText w:val="-"/>
      <w:lvlJc w:val="left"/>
      <w:pPr>
        <w:tabs>
          <w:tab w:val="num" w:pos="720"/>
        </w:tabs>
        <w:ind w:left="720" w:hanging="360"/>
      </w:pPr>
      <w:rPr>
        <w:rFonts w:ascii="Times New Roman" w:hAnsi="Times New Roman" w:hint="default"/>
      </w:rPr>
    </w:lvl>
    <w:lvl w:ilvl="1" w:tplc="3E5CA530">
      <w:start w:val="546"/>
      <w:numFmt w:val="bullet"/>
      <w:lvlText w:val="o"/>
      <w:lvlJc w:val="left"/>
      <w:pPr>
        <w:tabs>
          <w:tab w:val="num" w:pos="1440"/>
        </w:tabs>
        <w:ind w:left="1440" w:hanging="360"/>
      </w:pPr>
      <w:rPr>
        <w:rFonts w:ascii="Courier New" w:hAnsi="Courier New" w:hint="default"/>
      </w:rPr>
    </w:lvl>
    <w:lvl w:ilvl="2" w:tplc="A4FCDEE4" w:tentative="1">
      <w:start w:val="1"/>
      <w:numFmt w:val="bullet"/>
      <w:lvlText w:val="-"/>
      <w:lvlJc w:val="left"/>
      <w:pPr>
        <w:tabs>
          <w:tab w:val="num" w:pos="2160"/>
        </w:tabs>
        <w:ind w:left="2160" w:hanging="360"/>
      </w:pPr>
      <w:rPr>
        <w:rFonts w:ascii="Times New Roman" w:hAnsi="Times New Roman" w:hint="default"/>
      </w:rPr>
    </w:lvl>
    <w:lvl w:ilvl="3" w:tplc="871E3174" w:tentative="1">
      <w:start w:val="1"/>
      <w:numFmt w:val="bullet"/>
      <w:lvlText w:val="-"/>
      <w:lvlJc w:val="left"/>
      <w:pPr>
        <w:tabs>
          <w:tab w:val="num" w:pos="2880"/>
        </w:tabs>
        <w:ind w:left="2880" w:hanging="360"/>
      </w:pPr>
      <w:rPr>
        <w:rFonts w:ascii="Times New Roman" w:hAnsi="Times New Roman" w:hint="default"/>
      </w:rPr>
    </w:lvl>
    <w:lvl w:ilvl="4" w:tplc="863645EA" w:tentative="1">
      <w:start w:val="1"/>
      <w:numFmt w:val="bullet"/>
      <w:lvlText w:val="-"/>
      <w:lvlJc w:val="left"/>
      <w:pPr>
        <w:tabs>
          <w:tab w:val="num" w:pos="3600"/>
        </w:tabs>
        <w:ind w:left="3600" w:hanging="360"/>
      </w:pPr>
      <w:rPr>
        <w:rFonts w:ascii="Times New Roman" w:hAnsi="Times New Roman" w:hint="default"/>
      </w:rPr>
    </w:lvl>
    <w:lvl w:ilvl="5" w:tplc="9ABCA7C0" w:tentative="1">
      <w:start w:val="1"/>
      <w:numFmt w:val="bullet"/>
      <w:lvlText w:val="-"/>
      <w:lvlJc w:val="left"/>
      <w:pPr>
        <w:tabs>
          <w:tab w:val="num" w:pos="4320"/>
        </w:tabs>
        <w:ind w:left="4320" w:hanging="360"/>
      </w:pPr>
      <w:rPr>
        <w:rFonts w:ascii="Times New Roman" w:hAnsi="Times New Roman" w:hint="default"/>
      </w:rPr>
    </w:lvl>
    <w:lvl w:ilvl="6" w:tplc="E61E9336" w:tentative="1">
      <w:start w:val="1"/>
      <w:numFmt w:val="bullet"/>
      <w:lvlText w:val="-"/>
      <w:lvlJc w:val="left"/>
      <w:pPr>
        <w:tabs>
          <w:tab w:val="num" w:pos="5040"/>
        </w:tabs>
        <w:ind w:left="5040" w:hanging="360"/>
      </w:pPr>
      <w:rPr>
        <w:rFonts w:ascii="Times New Roman" w:hAnsi="Times New Roman" w:hint="default"/>
      </w:rPr>
    </w:lvl>
    <w:lvl w:ilvl="7" w:tplc="F3E08CF0" w:tentative="1">
      <w:start w:val="1"/>
      <w:numFmt w:val="bullet"/>
      <w:lvlText w:val="-"/>
      <w:lvlJc w:val="left"/>
      <w:pPr>
        <w:tabs>
          <w:tab w:val="num" w:pos="5760"/>
        </w:tabs>
        <w:ind w:left="5760" w:hanging="360"/>
      </w:pPr>
      <w:rPr>
        <w:rFonts w:ascii="Times New Roman" w:hAnsi="Times New Roman" w:hint="default"/>
      </w:rPr>
    </w:lvl>
    <w:lvl w:ilvl="8" w:tplc="352ADA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55714E"/>
    <w:multiLevelType w:val="hybridMultilevel"/>
    <w:tmpl w:val="5D5ADEA4"/>
    <w:lvl w:ilvl="0" w:tplc="0BA2C1B8">
      <w:start w:val="1"/>
      <w:numFmt w:val="decimal"/>
      <w:lvlText w:val="%1."/>
      <w:lvlJc w:val="left"/>
      <w:pPr>
        <w:ind w:left="1080" w:hanging="360"/>
      </w:pPr>
      <w:rPr>
        <w:rFonts w:asciiTheme="minorHAnsi" w:hAnsiTheme="minorHAnsi" w:cstheme="minorBid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C9B2A0F"/>
    <w:multiLevelType w:val="hybridMultilevel"/>
    <w:tmpl w:val="9006D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C36718"/>
    <w:multiLevelType w:val="hybridMultilevel"/>
    <w:tmpl w:val="9BA826AA"/>
    <w:lvl w:ilvl="0" w:tplc="A81CE0C0">
      <w:start w:val="1"/>
      <w:numFmt w:val="bullet"/>
      <w:lvlText w:val="-"/>
      <w:lvlJc w:val="left"/>
      <w:pPr>
        <w:tabs>
          <w:tab w:val="num" w:pos="720"/>
        </w:tabs>
        <w:ind w:left="720" w:hanging="360"/>
      </w:pPr>
      <w:rPr>
        <w:rFonts w:ascii="Times New Roman" w:hAnsi="Times New Roman" w:hint="default"/>
      </w:rPr>
    </w:lvl>
    <w:lvl w:ilvl="1" w:tplc="BDA8464A" w:tentative="1">
      <w:start w:val="1"/>
      <w:numFmt w:val="bullet"/>
      <w:lvlText w:val="-"/>
      <w:lvlJc w:val="left"/>
      <w:pPr>
        <w:tabs>
          <w:tab w:val="num" w:pos="1440"/>
        </w:tabs>
        <w:ind w:left="1440" w:hanging="360"/>
      </w:pPr>
      <w:rPr>
        <w:rFonts w:ascii="Times New Roman" w:hAnsi="Times New Roman" w:hint="default"/>
      </w:rPr>
    </w:lvl>
    <w:lvl w:ilvl="2" w:tplc="F0488502" w:tentative="1">
      <w:start w:val="1"/>
      <w:numFmt w:val="bullet"/>
      <w:lvlText w:val="-"/>
      <w:lvlJc w:val="left"/>
      <w:pPr>
        <w:tabs>
          <w:tab w:val="num" w:pos="2160"/>
        </w:tabs>
        <w:ind w:left="2160" w:hanging="360"/>
      </w:pPr>
      <w:rPr>
        <w:rFonts w:ascii="Times New Roman" w:hAnsi="Times New Roman" w:hint="default"/>
      </w:rPr>
    </w:lvl>
    <w:lvl w:ilvl="3" w:tplc="0130FDBA" w:tentative="1">
      <w:start w:val="1"/>
      <w:numFmt w:val="bullet"/>
      <w:lvlText w:val="-"/>
      <w:lvlJc w:val="left"/>
      <w:pPr>
        <w:tabs>
          <w:tab w:val="num" w:pos="2880"/>
        </w:tabs>
        <w:ind w:left="2880" w:hanging="360"/>
      </w:pPr>
      <w:rPr>
        <w:rFonts w:ascii="Times New Roman" w:hAnsi="Times New Roman" w:hint="default"/>
      </w:rPr>
    </w:lvl>
    <w:lvl w:ilvl="4" w:tplc="6DB897F4" w:tentative="1">
      <w:start w:val="1"/>
      <w:numFmt w:val="bullet"/>
      <w:lvlText w:val="-"/>
      <w:lvlJc w:val="left"/>
      <w:pPr>
        <w:tabs>
          <w:tab w:val="num" w:pos="3600"/>
        </w:tabs>
        <w:ind w:left="3600" w:hanging="360"/>
      </w:pPr>
      <w:rPr>
        <w:rFonts w:ascii="Times New Roman" w:hAnsi="Times New Roman" w:hint="default"/>
      </w:rPr>
    </w:lvl>
    <w:lvl w:ilvl="5" w:tplc="F9A49184" w:tentative="1">
      <w:start w:val="1"/>
      <w:numFmt w:val="bullet"/>
      <w:lvlText w:val="-"/>
      <w:lvlJc w:val="left"/>
      <w:pPr>
        <w:tabs>
          <w:tab w:val="num" w:pos="4320"/>
        </w:tabs>
        <w:ind w:left="4320" w:hanging="360"/>
      </w:pPr>
      <w:rPr>
        <w:rFonts w:ascii="Times New Roman" w:hAnsi="Times New Roman" w:hint="default"/>
      </w:rPr>
    </w:lvl>
    <w:lvl w:ilvl="6" w:tplc="1A60282C" w:tentative="1">
      <w:start w:val="1"/>
      <w:numFmt w:val="bullet"/>
      <w:lvlText w:val="-"/>
      <w:lvlJc w:val="left"/>
      <w:pPr>
        <w:tabs>
          <w:tab w:val="num" w:pos="5040"/>
        </w:tabs>
        <w:ind w:left="5040" w:hanging="360"/>
      </w:pPr>
      <w:rPr>
        <w:rFonts w:ascii="Times New Roman" w:hAnsi="Times New Roman" w:hint="default"/>
      </w:rPr>
    </w:lvl>
    <w:lvl w:ilvl="7" w:tplc="8F86A946" w:tentative="1">
      <w:start w:val="1"/>
      <w:numFmt w:val="bullet"/>
      <w:lvlText w:val="-"/>
      <w:lvlJc w:val="left"/>
      <w:pPr>
        <w:tabs>
          <w:tab w:val="num" w:pos="5760"/>
        </w:tabs>
        <w:ind w:left="5760" w:hanging="360"/>
      </w:pPr>
      <w:rPr>
        <w:rFonts w:ascii="Times New Roman" w:hAnsi="Times New Roman" w:hint="default"/>
      </w:rPr>
    </w:lvl>
    <w:lvl w:ilvl="8" w:tplc="5FA82C9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155667B"/>
    <w:multiLevelType w:val="hybridMultilevel"/>
    <w:tmpl w:val="843208C8"/>
    <w:lvl w:ilvl="0" w:tplc="2BA85456">
      <w:start w:val="1"/>
      <w:numFmt w:val="bullet"/>
      <w:lvlText w:val="-"/>
      <w:lvlJc w:val="left"/>
      <w:pPr>
        <w:tabs>
          <w:tab w:val="num" w:pos="720"/>
        </w:tabs>
        <w:ind w:left="720" w:hanging="360"/>
      </w:pPr>
      <w:rPr>
        <w:rFonts w:ascii="Times New Roman" w:hAnsi="Times New Roman" w:hint="default"/>
      </w:rPr>
    </w:lvl>
    <w:lvl w:ilvl="1" w:tplc="D50CB4EE" w:tentative="1">
      <w:start w:val="1"/>
      <w:numFmt w:val="bullet"/>
      <w:lvlText w:val="-"/>
      <w:lvlJc w:val="left"/>
      <w:pPr>
        <w:tabs>
          <w:tab w:val="num" w:pos="1440"/>
        </w:tabs>
        <w:ind w:left="1440" w:hanging="360"/>
      </w:pPr>
      <w:rPr>
        <w:rFonts w:ascii="Times New Roman" w:hAnsi="Times New Roman" w:hint="default"/>
      </w:rPr>
    </w:lvl>
    <w:lvl w:ilvl="2" w:tplc="9F5AD6F0" w:tentative="1">
      <w:start w:val="1"/>
      <w:numFmt w:val="bullet"/>
      <w:lvlText w:val="-"/>
      <w:lvlJc w:val="left"/>
      <w:pPr>
        <w:tabs>
          <w:tab w:val="num" w:pos="2160"/>
        </w:tabs>
        <w:ind w:left="2160" w:hanging="360"/>
      </w:pPr>
      <w:rPr>
        <w:rFonts w:ascii="Times New Roman" w:hAnsi="Times New Roman" w:hint="default"/>
      </w:rPr>
    </w:lvl>
    <w:lvl w:ilvl="3" w:tplc="42703272" w:tentative="1">
      <w:start w:val="1"/>
      <w:numFmt w:val="bullet"/>
      <w:lvlText w:val="-"/>
      <w:lvlJc w:val="left"/>
      <w:pPr>
        <w:tabs>
          <w:tab w:val="num" w:pos="2880"/>
        </w:tabs>
        <w:ind w:left="2880" w:hanging="360"/>
      </w:pPr>
      <w:rPr>
        <w:rFonts w:ascii="Times New Roman" w:hAnsi="Times New Roman" w:hint="default"/>
      </w:rPr>
    </w:lvl>
    <w:lvl w:ilvl="4" w:tplc="C900B8DC" w:tentative="1">
      <w:start w:val="1"/>
      <w:numFmt w:val="bullet"/>
      <w:lvlText w:val="-"/>
      <w:lvlJc w:val="left"/>
      <w:pPr>
        <w:tabs>
          <w:tab w:val="num" w:pos="3600"/>
        </w:tabs>
        <w:ind w:left="3600" w:hanging="360"/>
      </w:pPr>
      <w:rPr>
        <w:rFonts w:ascii="Times New Roman" w:hAnsi="Times New Roman" w:hint="default"/>
      </w:rPr>
    </w:lvl>
    <w:lvl w:ilvl="5" w:tplc="60004F08" w:tentative="1">
      <w:start w:val="1"/>
      <w:numFmt w:val="bullet"/>
      <w:lvlText w:val="-"/>
      <w:lvlJc w:val="left"/>
      <w:pPr>
        <w:tabs>
          <w:tab w:val="num" w:pos="4320"/>
        </w:tabs>
        <w:ind w:left="4320" w:hanging="360"/>
      </w:pPr>
      <w:rPr>
        <w:rFonts w:ascii="Times New Roman" w:hAnsi="Times New Roman" w:hint="default"/>
      </w:rPr>
    </w:lvl>
    <w:lvl w:ilvl="6" w:tplc="75B28B74" w:tentative="1">
      <w:start w:val="1"/>
      <w:numFmt w:val="bullet"/>
      <w:lvlText w:val="-"/>
      <w:lvlJc w:val="left"/>
      <w:pPr>
        <w:tabs>
          <w:tab w:val="num" w:pos="5040"/>
        </w:tabs>
        <w:ind w:left="5040" w:hanging="360"/>
      </w:pPr>
      <w:rPr>
        <w:rFonts w:ascii="Times New Roman" w:hAnsi="Times New Roman" w:hint="default"/>
      </w:rPr>
    </w:lvl>
    <w:lvl w:ilvl="7" w:tplc="70E8D3C6" w:tentative="1">
      <w:start w:val="1"/>
      <w:numFmt w:val="bullet"/>
      <w:lvlText w:val="-"/>
      <w:lvlJc w:val="left"/>
      <w:pPr>
        <w:tabs>
          <w:tab w:val="num" w:pos="5760"/>
        </w:tabs>
        <w:ind w:left="5760" w:hanging="360"/>
      </w:pPr>
      <w:rPr>
        <w:rFonts w:ascii="Times New Roman" w:hAnsi="Times New Roman" w:hint="default"/>
      </w:rPr>
    </w:lvl>
    <w:lvl w:ilvl="8" w:tplc="DA3A763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6D1086D"/>
    <w:multiLevelType w:val="hybridMultilevel"/>
    <w:tmpl w:val="E29AB4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CB33A8D"/>
    <w:multiLevelType w:val="hybridMultilevel"/>
    <w:tmpl w:val="CA20B322"/>
    <w:lvl w:ilvl="0" w:tplc="982EB06E">
      <w:start w:val="1"/>
      <w:numFmt w:val="bullet"/>
      <w:lvlText w:val="-"/>
      <w:lvlJc w:val="left"/>
      <w:pPr>
        <w:tabs>
          <w:tab w:val="num" w:pos="720"/>
        </w:tabs>
        <w:ind w:left="720" w:hanging="360"/>
      </w:pPr>
      <w:rPr>
        <w:rFonts w:ascii="Times New Roman" w:hAnsi="Times New Roman" w:hint="default"/>
      </w:rPr>
    </w:lvl>
    <w:lvl w:ilvl="1" w:tplc="F1247D1A" w:tentative="1">
      <w:start w:val="1"/>
      <w:numFmt w:val="bullet"/>
      <w:lvlText w:val="-"/>
      <w:lvlJc w:val="left"/>
      <w:pPr>
        <w:tabs>
          <w:tab w:val="num" w:pos="1440"/>
        </w:tabs>
        <w:ind w:left="1440" w:hanging="360"/>
      </w:pPr>
      <w:rPr>
        <w:rFonts w:ascii="Times New Roman" w:hAnsi="Times New Roman" w:hint="default"/>
      </w:rPr>
    </w:lvl>
    <w:lvl w:ilvl="2" w:tplc="DEE6D138" w:tentative="1">
      <w:start w:val="1"/>
      <w:numFmt w:val="bullet"/>
      <w:lvlText w:val="-"/>
      <w:lvlJc w:val="left"/>
      <w:pPr>
        <w:tabs>
          <w:tab w:val="num" w:pos="2160"/>
        </w:tabs>
        <w:ind w:left="2160" w:hanging="360"/>
      </w:pPr>
      <w:rPr>
        <w:rFonts w:ascii="Times New Roman" w:hAnsi="Times New Roman" w:hint="default"/>
      </w:rPr>
    </w:lvl>
    <w:lvl w:ilvl="3" w:tplc="DFD80EB8" w:tentative="1">
      <w:start w:val="1"/>
      <w:numFmt w:val="bullet"/>
      <w:lvlText w:val="-"/>
      <w:lvlJc w:val="left"/>
      <w:pPr>
        <w:tabs>
          <w:tab w:val="num" w:pos="2880"/>
        </w:tabs>
        <w:ind w:left="2880" w:hanging="360"/>
      </w:pPr>
      <w:rPr>
        <w:rFonts w:ascii="Times New Roman" w:hAnsi="Times New Roman" w:hint="default"/>
      </w:rPr>
    </w:lvl>
    <w:lvl w:ilvl="4" w:tplc="F59C1086" w:tentative="1">
      <w:start w:val="1"/>
      <w:numFmt w:val="bullet"/>
      <w:lvlText w:val="-"/>
      <w:lvlJc w:val="left"/>
      <w:pPr>
        <w:tabs>
          <w:tab w:val="num" w:pos="3600"/>
        </w:tabs>
        <w:ind w:left="3600" w:hanging="360"/>
      </w:pPr>
      <w:rPr>
        <w:rFonts w:ascii="Times New Roman" w:hAnsi="Times New Roman" w:hint="default"/>
      </w:rPr>
    </w:lvl>
    <w:lvl w:ilvl="5" w:tplc="3094E826" w:tentative="1">
      <w:start w:val="1"/>
      <w:numFmt w:val="bullet"/>
      <w:lvlText w:val="-"/>
      <w:lvlJc w:val="left"/>
      <w:pPr>
        <w:tabs>
          <w:tab w:val="num" w:pos="4320"/>
        </w:tabs>
        <w:ind w:left="4320" w:hanging="360"/>
      </w:pPr>
      <w:rPr>
        <w:rFonts w:ascii="Times New Roman" w:hAnsi="Times New Roman" w:hint="default"/>
      </w:rPr>
    </w:lvl>
    <w:lvl w:ilvl="6" w:tplc="ACEC48BC" w:tentative="1">
      <w:start w:val="1"/>
      <w:numFmt w:val="bullet"/>
      <w:lvlText w:val="-"/>
      <w:lvlJc w:val="left"/>
      <w:pPr>
        <w:tabs>
          <w:tab w:val="num" w:pos="5040"/>
        </w:tabs>
        <w:ind w:left="5040" w:hanging="360"/>
      </w:pPr>
      <w:rPr>
        <w:rFonts w:ascii="Times New Roman" w:hAnsi="Times New Roman" w:hint="default"/>
      </w:rPr>
    </w:lvl>
    <w:lvl w:ilvl="7" w:tplc="C090E80A" w:tentative="1">
      <w:start w:val="1"/>
      <w:numFmt w:val="bullet"/>
      <w:lvlText w:val="-"/>
      <w:lvlJc w:val="left"/>
      <w:pPr>
        <w:tabs>
          <w:tab w:val="num" w:pos="5760"/>
        </w:tabs>
        <w:ind w:left="5760" w:hanging="360"/>
      </w:pPr>
      <w:rPr>
        <w:rFonts w:ascii="Times New Roman" w:hAnsi="Times New Roman" w:hint="default"/>
      </w:rPr>
    </w:lvl>
    <w:lvl w:ilvl="8" w:tplc="4EC2C20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0"/>
  </w:num>
  <w:num w:numId="3">
    <w:abstractNumId w:val="2"/>
  </w:num>
  <w:num w:numId="4">
    <w:abstractNumId w:val="5"/>
  </w:num>
  <w:num w:numId="5">
    <w:abstractNumId w:val="4"/>
  </w:num>
  <w:num w:numId="6">
    <w:abstractNumId w:val="1"/>
  </w:num>
  <w:num w:numId="7">
    <w:abstractNumId w:val="9"/>
  </w:num>
  <w:num w:numId="8">
    <w:abstractNumId w:val="3"/>
  </w:num>
  <w:num w:numId="9">
    <w:abstractNumId w:val="11"/>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5F"/>
    <w:rsid w:val="00150E98"/>
    <w:rsid w:val="002E5180"/>
    <w:rsid w:val="00333C14"/>
    <w:rsid w:val="004E5AA5"/>
    <w:rsid w:val="00633F72"/>
    <w:rsid w:val="009B3D0D"/>
    <w:rsid w:val="00BD2902"/>
    <w:rsid w:val="00BD7AD6"/>
    <w:rsid w:val="00C418AA"/>
    <w:rsid w:val="00C70B7A"/>
    <w:rsid w:val="00C95AD0"/>
    <w:rsid w:val="00CA383B"/>
    <w:rsid w:val="00D63188"/>
    <w:rsid w:val="00D9315F"/>
    <w:rsid w:val="00E44F98"/>
    <w:rsid w:val="00EF2AA5"/>
    <w:rsid w:val="00F6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33C14"/>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5F"/>
  </w:style>
  <w:style w:type="paragraph" w:styleId="Footer">
    <w:name w:val="footer"/>
    <w:basedOn w:val="Normal"/>
    <w:link w:val="FooterChar"/>
    <w:uiPriority w:val="99"/>
    <w:unhideWhenUsed/>
    <w:rsid w:val="00D9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15F"/>
  </w:style>
  <w:style w:type="paragraph" w:styleId="BalloonText">
    <w:name w:val="Balloon Text"/>
    <w:basedOn w:val="Normal"/>
    <w:link w:val="BalloonTextChar"/>
    <w:uiPriority w:val="99"/>
    <w:semiHidden/>
    <w:unhideWhenUsed/>
    <w:rsid w:val="00D93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5F"/>
    <w:rPr>
      <w:rFonts w:ascii="Tahoma" w:hAnsi="Tahoma" w:cs="Tahoma"/>
      <w:sz w:val="16"/>
      <w:szCs w:val="16"/>
    </w:rPr>
  </w:style>
  <w:style w:type="table" w:styleId="TableGrid">
    <w:name w:val="Table Grid"/>
    <w:basedOn w:val="TableNormal"/>
    <w:uiPriority w:val="59"/>
    <w:rsid w:val="00D9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15F"/>
    <w:pPr>
      <w:ind w:left="720"/>
      <w:contextualSpacing/>
    </w:pPr>
  </w:style>
  <w:style w:type="paragraph" w:customStyle="1" w:styleId="Default">
    <w:name w:val="Default"/>
    <w:rsid w:val="002E518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33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333C14"/>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33C14"/>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5F"/>
  </w:style>
  <w:style w:type="paragraph" w:styleId="Footer">
    <w:name w:val="footer"/>
    <w:basedOn w:val="Normal"/>
    <w:link w:val="FooterChar"/>
    <w:uiPriority w:val="99"/>
    <w:unhideWhenUsed/>
    <w:rsid w:val="00D9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15F"/>
  </w:style>
  <w:style w:type="paragraph" w:styleId="BalloonText">
    <w:name w:val="Balloon Text"/>
    <w:basedOn w:val="Normal"/>
    <w:link w:val="BalloonTextChar"/>
    <w:uiPriority w:val="99"/>
    <w:semiHidden/>
    <w:unhideWhenUsed/>
    <w:rsid w:val="00D93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5F"/>
    <w:rPr>
      <w:rFonts w:ascii="Tahoma" w:hAnsi="Tahoma" w:cs="Tahoma"/>
      <w:sz w:val="16"/>
      <w:szCs w:val="16"/>
    </w:rPr>
  </w:style>
  <w:style w:type="table" w:styleId="TableGrid">
    <w:name w:val="Table Grid"/>
    <w:basedOn w:val="TableNormal"/>
    <w:uiPriority w:val="59"/>
    <w:rsid w:val="00D9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15F"/>
    <w:pPr>
      <w:ind w:left="720"/>
      <w:contextualSpacing/>
    </w:pPr>
  </w:style>
  <w:style w:type="paragraph" w:customStyle="1" w:styleId="Default">
    <w:name w:val="Default"/>
    <w:rsid w:val="002E518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33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333C1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2195">
      <w:bodyDiv w:val="1"/>
      <w:marLeft w:val="0"/>
      <w:marRight w:val="0"/>
      <w:marTop w:val="0"/>
      <w:marBottom w:val="0"/>
      <w:divBdr>
        <w:top w:val="none" w:sz="0" w:space="0" w:color="auto"/>
        <w:left w:val="none" w:sz="0" w:space="0" w:color="auto"/>
        <w:bottom w:val="none" w:sz="0" w:space="0" w:color="auto"/>
        <w:right w:val="none" w:sz="0" w:space="0" w:color="auto"/>
      </w:divBdr>
      <w:divsChild>
        <w:div w:id="1568415692">
          <w:marLeft w:val="274"/>
          <w:marRight w:val="0"/>
          <w:marTop w:val="0"/>
          <w:marBottom w:val="0"/>
          <w:divBdr>
            <w:top w:val="none" w:sz="0" w:space="0" w:color="auto"/>
            <w:left w:val="none" w:sz="0" w:space="0" w:color="auto"/>
            <w:bottom w:val="none" w:sz="0" w:space="0" w:color="auto"/>
            <w:right w:val="none" w:sz="0" w:space="0" w:color="auto"/>
          </w:divBdr>
        </w:div>
        <w:div w:id="1611552469">
          <w:marLeft w:val="274"/>
          <w:marRight w:val="0"/>
          <w:marTop w:val="0"/>
          <w:marBottom w:val="0"/>
          <w:divBdr>
            <w:top w:val="none" w:sz="0" w:space="0" w:color="auto"/>
            <w:left w:val="none" w:sz="0" w:space="0" w:color="auto"/>
            <w:bottom w:val="none" w:sz="0" w:space="0" w:color="auto"/>
            <w:right w:val="none" w:sz="0" w:space="0" w:color="auto"/>
          </w:divBdr>
        </w:div>
        <w:div w:id="1669870100">
          <w:marLeft w:val="994"/>
          <w:marRight w:val="0"/>
          <w:marTop w:val="0"/>
          <w:marBottom w:val="0"/>
          <w:divBdr>
            <w:top w:val="none" w:sz="0" w:space="0" w:color="auto"/>
            <w:left w:val="none" w:sz="0" w:space="0" w:color="auto"/>
            <w:bottom w:val="none" w:sz="0" w:space="0" w:color="auto"/>
            <w:right w:val="none" w:sz="0" w:space="0" w:color="auto"/>
          </w:divBdr>
        </w:div>
        <w:div w:id="1193299251">
          <w:marLeft w:val="994"/>
          <w:marRight w:val="0"/>
          <w:marTop w:val="0"/>
          <w:marBottom w:val="0"/>
          <w:divBdr>
            <w:top w:val="none" w:sz="0" w:space="0" w:color="auto"/>
            <w:left w:val="none" w:sz="0" w:space="0" w:color="auto"/>
            <w:bottom w:val="none" w:sz="0" w:space="0" w:color="auto"/>
            <w:right w:val="none" w:sz="0" w:space="0" w:color="auto"/>
          </w:divBdr>
        </w:div>
        <w:div w:id="882866913">
          <w:marLeft w:val="994"/>
          <w:marRight w:val="0"/>
          <w:marTop w:val="0"/>
          <w:marBottom w:val="0"/>
          <w:divBdr>
            <w:top w:val="none" w:sz="0" w:space="0" w:color="auto"/>
            <w:left w:val="none" w:sz="0" w:space="0" w:color="auto"/>
            <w:bottom w:val="none" w:sz="0" w:space="0" w:color="auto"/>
            <w:right w:val="none" w:sz="0" w:space="0" w:color="auto"/>
          </w:divBdr>
        </w:div>
        <w:div w:id="254486101">
          <w:marLeft w:val="994"/>
          <w:marRight w:val="0"/>
          <w:marTop w:val="0"/>
          <w:marBottom w:val="0"/>
          <w:divBdr>
            <w:top w:val="none" w:sz="0" w:space="0" w:color="auto"/>
            <w:left w:val="none" w:sz="0" w:space="0" w:color="auto"/>
            <w:bottom w:val="none" w:sz="0" w:space="0" w:color="auto"/>
            <w:right w:val="none" w:sz="0" w:space="0" w:color="auto"/>
          </w:divBdr>
        </w:div>
        <w:div w:id="834801485">
          <w:marLeft w:val="994"/>
          <w:marRight w:val="0"/>
          <w:marTop w:val="0"/>
          <w:marBottom w:val="0"/>
          <w:divBdr>
            <w:top w:val="none" w:sz="0" w:space="0" w:color="auto"/>
            <w:left w:val="none" w:sz="0" w:space="0" w:color="auto"/>
            <w:bottom w:val="none" w:sz="0" w:space="0" w:color="auto"/>
            <w:right w:val="none" w:sz="0" w:space="0" w:color="auto"/>
          </w:divBdr>
        </w:div>
        <w:div w:id="29958192">
          <w:marLeft w:val="274"/>
          <w:marRight w:val="0"/>
          <w:marTop w:val="0"/>
          <w:marBottom w:val="0"/>
          <w:divBdr>
            <w:top w:val="none" w:sz="0" w:space="0" w:color="auto"/>
            <w:left w:val="none" w:sz="0" w:space="0" w:color="auto"/>
            <w:bottom w:val="none" w:sz="0" w:space="0" w:color="auto"/>
            <w:right w:val="none" w:sz="0" w:space="0" w:color="auto"/>
          </w:divBdr>
        </w:div>
        <w:div w:id="230359556">
          <w:marLeft w:val="274"/>
          <w:marRight w:val="0"/>
          <w:marTop w:val="0"/>
          <w:marBottom w:val="0"/>
          <w:divBdr>
            <w:top w:val="none" w:sz="0" w:space="0" w:color="auto"/>
            <w:left w:val="none" w:sz="0" w:space="0" w:color="auto"/>
            <w:bottom w:val="none" w:sz="0" w:space="0" w:color="auto"/>
            <w:right w:val="none" w:sz="0" w:space="0" w:color="auto"/>
          </w:divBdr>
        </w:div>
        <w:div w:id="1219707771">
          <w:marLeft w:val="274"/>
          <w:marRight w:val="0"/>
          <w:marTop w:val="0"/>
          <w:marBottom w:val="0"/>
          <w:divBdr>
            <w:top w:val="none" w:sz="0" w:space="0" w:color="auto"/>
            <w:left w:val="none" w:sz="0" w:space="0" w:color="auto"/>
            <w:bottom w:val="none" w:sz="0" w:space="0" w:color="auto"/>
            <w:right w:val="none" w:sz="0" w:space="0" w:color="auto"/>
          </w:divBdr>
        </w:div>
        <w:div w:id="2143108563">
          <w:marLeft w:val="274"/>
          <w:marRight w:val="0"/>
          <w:marTop w:val="0"/>
          <w:marBottom w:val="0"/>
          <w:divBdr>
            <w:top w:val="none" w:sz="0" w:space="0" w:color="auto"/>
            <w:left w:val="none" w:sz="0" w:space="0" w:color="auto"/>
            <w:bottom w:val="none" w:sz="0" w:space="0" w:color="auto"/>
            <w:right w:val="none" w:sz="0" w:space="0" w:color="auto"/>
          </w:divBdr>
        </w:div>
        <w:div w:id="949312952">
          <w:marLeft w:val="274"/>
          <w:marRight w:val="0"/>
          <w:marTop w:val="0"/>
          <w:marBottom w:val="0"/>
          <w:divBdr>
            <w:top w:val="none" w:sz="0" w:space="0" w:color="auto"/>
            <w:left w:val="none" w:sz="0" w:space="0" w:color="auto"/>
            <w:bottom w:val="none" w:sz="0" w:space="0" w:color="auto"/>
            <w:right w:val="none" w:sz="0" w:space="0" w:color="auto"/>
          </w:divBdr>
        </w:div>
        <w:div w:id="1032196488">
          <w:marLeft w:val="274"/>
          <w:marRight w:val="0"/>
          <w:marTop w:val="0"/>
          <w:marBottom w:val="0"/>
          <w:divBdr>
            <w:top w:val="none" w:sz="0" w:space="0" w:color="auto"/>
            <w:left w:val="none" w:sz="0" w:space="0" w:color="auto"/>
            <w:bottom w:val="none" w:sz="0" w:space="0" w:color="auto"/>
            <w:right w:val="none" w:sz="0" w:space="0" w:color="auto"/>
          </w:divBdr>
        </w:div>
      </w:divsChild>
    </w:div>
    <w:div w:id="382098407">
      <w:bodyDiv w:val="1"/>
      <w:marLeft w:val="0"/>
      <w:marRight w:val="0"/>
      <w:marTop w:val="0"/>
      <w:marBottom w:val="0"/>
      <w:divBdr>
        <w:top w:val="none" w:sz="0" w:space="0" w:color="auto"/>
        <w:left w:val="none" w:sz="0" w:space="0" w:color="auto"/>
        <w:bottom w:val="none" w:sz="0" w:space="0" w:color="auto"/>
        <w:right w:val="none" w:sz="0" w:space="0" w:color="auto"/>
      </w:divBdr>
      <w:divsChild>
        <w:div w:id="998188473">
          <w:marLeft w:val="274"/>
          <w:marRight w:val="0"/>
          <w:marTop w:val="0"/>
          <w:marBottom w:val="0"/>
          <w:divBdr>
            <w:top w:val="none" w:sz="0" w:space="0" w:color="auto"/>
            <w:left w:val="none" w:sz="0" w:space="0" w:color="auto"/>
            <w:bottom w:val="none" w:sz="0" w:space="0" w:color="auto"/>
            <w:right w:val="none" w:sz="0" w:space="0" w:color="auto"/>
          </w:divBdr>
        </w:div>
        <w:div w:id="1727025189">
          <w:marLeft w:val="274"/>
          <w:marRight w:val="0"/>
          <w:marTop w:val="0"/>
          <w:marBottom w:val="0"/>
          <w:divBdr>
            <w:top w:val="none" w:sz="0" w:space="0" w:color="auto"/>
            <w:left w:val="none" w:sz="0" w:space="0" w:color="auto"/>
            <w:bottom w:val="none" w:sz="0" w:space="0" w:color="auto"/>
            <w:right w:val="none" w:sz="0" w:space="0" w:color="auto"/>
          </w:divBdr>
        </w:div>
        <w:div w:id="2130273324">
          <w:marLeft w:val="994"/>
          <w:marRight w:val="0"/>
          <w:marTop w:val="0"/>
          <w:marBottom w:val="0"/>
          <w:divBdr>
            <w:top w:val="none" w:sz="0" w:space="0" w:color="auto"/>
            <w:left w:val="none" w:sz="0" w:space="0" w:color="auto"/>
            <w:bottom w:val="none" w:sz="0" w:space="0" w:color="auto"/>
            <w:right w:val="none" w:sz="0" w:space="0" w:color="auto"/>
          </w:divBdr>
        </w:div>
        <w:div w:id="633020597">
          <w:marLeft w:val="274"/>
          <w:marRight w:val="0"/>
          <w:marTop w:val="0"/>
          <w:marBottom w:val="0"/>
          <w:divBdr>
            <w:top w:val="none" w:sz="0" w:space="0" w:color="auto"/>
            <w:left w:val="none" w:sz="0" w:space="0" w:color="auto"/>
            <w:bottom w:val="none" w:sz="0" w:space="0" w:color="auto"/>
            <w:right w:val="none" w:sz="0" w:space="0" w:color="auto"/>
          </w:divBdr>
        </w:div>
        <w:div w:id="1460151556">
          <w:marLeft w:val="274"/>
          <w:marRight w:val="0"/>
          <w:marTop w:val="0"/>
          <w:marBottom w:val="0"/>
          <w:divBdr>
            <w:top w:val="none" w:sz="0" w:space="0" w:color="auto"/>
            <w:left w:val="none" w:sz="0" w:space="0" w:color="auto"/>
            <w:bottom w:val="none" w:sz="0" w:space="0" w:color="auto"/>
            <w:right w:val="none" w:sz="0" w:space="0" w:color="auto"/>
          </w:divBdr>
        </w:div>
      </w:divsChild>
    </w:div>
    <w:div w:id="1099760556">
      <w:bodyDiv w:val="1"/>
      <w:marLeft w:val="0"/>
      <w:marRight w:val="0"/>
      <w:marTop w:val="0"/>
      <w:marBottom w:val="0"/>
      <w:divBdr>
        <w:top w:val="none" w:sz="0" w:space="0" w:color="auto"/>
        <w:left w:val="none" w:sz="0" w:space="0" w:color="auto"/>
        <w:bottom w:val="none" w:sz="0" w:space="0" w:color="auto"/>
        <w:right w:val="none" w:sz="0" w:space="0" w:color="auto"/>
      </w:divBdr>
    </w:div>
    <w:div w:id="1176502336">
      <w:bodyDiv w:val="1"/>
      <w:marLeft w:val="0"/>
      <w:marRight w:val="0"/>
      <w:marTop w:val="0"/>
      <w:marBottom w:val="0"/>
      <w:divBdr>
        <w:top w:val="none" w:sz="0" w:space="0" w:color="auto"/>
        <w:left w:val="none" w:sz="0" w:space="0" w:color="auto"/>
        <w:bottom w:val="none" w:sz="0" w:space="0" w:color="auto"/>
        <w:right w:val="none" w:sz="0" w:space="0" w:color="auto"/>
      </w:divBdr>
    </w:div>
    <w:div w:id="1328940422">
      <w:bodyDiv w:val="1"/>
      <w:marLeft w:val="0"/>
      <w:marRight w:val="0"/>
      <w:marTop w:val="0"/>
      <w:marBottom w:val="0"/>
      <w:divBdr>
        <w:top w:val="none" w:sz="0" w:space="0" w:color="auto"/>
        <w:left w:val="none" w:sz="0" w:space="0" w:color="auto"/>
        <w:bottom w:val="none" w:sz="0" w:space="0" w:color="auto"/>
        <w:right w:val="none" w:sz="0" w:space="0" w:color="auto"/>
      </w:divBdr>
    </w:div>
    <w:div w:id="1765882416">
      <w:bodyDiv w:val="1"/>
      <w:marLeft w:val="0"/>
      <w:marRight w:val="0"/>
      <w:marTop w:val="0"/>
      <w:marBottom w:val="0"/>
      <w:divBdr>
        <w:top w:val="none" w:sz="0" w:space="0" w:color="auto"/>
        <w:left w:val="none" w:sz="0" w:space="0" w:color="auto"/>
        <w:bottom w:val="none" w:sz="0" w:space="0" w:color="auto"/>
        <w:right w:val="none" w:sz="0" w:space="0" w:color="auto"/>
      </w:divBdr>
    </w:div>
    <w:div w:id="1814786127">
      <w:bodyDiv w:val="1"/>
      <w:marLeft w:val="0"/>
      <w:marRight w:val="0"/>
      <w:marTop w:val="0"/>
      <w:marBottom w:val="0"/>
      <w:divBdr>
        <w:top w:val="none" w:sz="0" w:space="0" w:color="auto"/>
        <w:left w:val="none" w:sz="0" w:space="0" w:color="auto"/>
        <w:bottom w:val="none" w:sz="0" w:space="0" w:color="auto"/>
        <w:right w:val="none" w:sz="0" w:space="0" w:color="auto"/>
      </w:divBdr>
      <w:divsChild>
        <w:div w:id="99960862">
          <w:marLeft w:val="274"/>
          <w:marRight w:val="0"/>
          <w:marTop w:val="0"/>
          <w:marBottom w:val="0"/>
          <w:divBdr>
            <w:top w:val="none" w:sz="0" w:space="0" w:color="auto"/>
            <w:left w:val="none" w:sz="0" w:space="0" w:color="auto"/>
            <w:bottom w:val="none" w:sz="0" w:space="0" w:color="auto"/>
            <w:right w:val="none" w:sz="0" w:space="0" w:color="auto"/>
          </w:divBdr>
        </w:div>
        <w:div w:id="888419807">
          <w:marLeft w:val="274"/>
          <w:marRight w:val="0"/>
          <w:marTop w:val="0"/>
          <w:marBottom w:val="0"/>
          <w:divBdr>
            <w:top w:val="none" w:sz="0" w:space="0" w:color="auto"/>
            <w:left w:val="none" w:sz="0" w:space="0" w:color="auto"/>
            <w:bottom w:val="none" w:sz="0" w:space="0" w:color="auto"/>
            <w:right w:val="none" w:sz="0" w:space="0" w:color="auto"/>
          </w:divBdr>
        </w:div>
        <w:div w:id="2042321192">
          <w:marLeft w:val="274"/>
          <w:marRight w:val="0"/>
          <w:marTop w:val="0"/>
          <w:marBottom w:val="0"/>
          <w:divBdr>
            <w:top w:val="none" w:sz="0" w:space="0" w:color="auto"/>
            <w:left w:val="none" w:sz="0" w:space="0" w:color="auto"/>
            <w:bottom w:val="none" w:sz="0" w:space="0" w:color="auto"/>
            <w:right w:val="none" w:sz="0" w:space="0" w:color="auto"/>
          </w:divBdr>
        </w:div>
        <w:div w:id="85080402">
          <w:marLeft w:val="274"/>
          <w:marRight w:val="0"/>
          <w:marTop w:val="0"/>
          <w:marBottom w:val="0"/>
          <w:divBdr>
            <w:top w:val="none" w:sz="0" w:space="0" w:color="auto"/>
            <w:left w:val="none" w:sz="0" w:space="0" w:color="auto"/>
            <w:bottom w:val="none" w:sz="0" w:space="0" w:color="auto"/>
            <w:right w:val="none" w:sz="0" w:space="0" w:color="auto"/>
          </w:divBdr>
        </w:div>
        <w:div w:id="174830673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02F0C71688427E84BB015FE737D7AE"/>
        <w:category>
          <w:name w:val="General"/>
          <w:gallery w:val="placeholder"/>
        </w:category>
        <w:types>
          <w:type w:val="bbPlcHdr"/>
        </w:types>
        <w:behaviors>
          <w:behavior w:val="content"/>
        </w:behaviors>
        <w:guid w:val="{65A36ADF-2EBF-4BAB-83D7-083E98EF30E2}"/>
      </w:docPartPr>
      <w:docPartBody>
        <w:p w:rsidR="000249DB" w:rsidRDefault="00D60A6C" w:rsidP="00D60A6C">
          <w:pPr>
            <w:pStyle w:val="4702F0C71688427E84BB015FE737D7A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6C"/>
    <w:rsid w:val="000249DB"/>
    <w:rsid w:val="00586140"/>
    <w:rsid w:val="00B450B2"/>
    <w:rsid w:val="00D60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02F0C71688427E84BB015FE737D7AE">
    <w:name w:val="4702F0C71688427E84BB015FE737D7AE"/>
    <w:rsid w:val="00D60A6C"/>
  </w:style>
  <w:style w:type="paragraph" w:customStyle="1" w:styleId="4D55AB75586B4EA0B17E0F26C0E0FCD9">
    <w:name w:val="4D55AB75586B4EA0B17E0F26C0E0FCD9"/>
    <w:rsid w:val="00D60A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02F0C71688427E84BB015FE737D7AE">
    <w:name w:val="4702F0C71688427E84BB015FE737D7AE"/>
    <w:rsid w:val="00D60A6C"/>
  </w:style>
  <w:style w:type="paragraph" w:customStyle="1" w:styleId="4D55AB75586B4EA0B17E0F26C0E0FCD9">
    <w:name w:val="4D55AB75586B4EA0B17E0F26C0E0FCD9"/>
    <w:rsid w:val="00D60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 Committee Terms of Reference</vt:lpstr>
    </vt:vector>
  </TitlesOfParts>
  <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Sub-Committee Terms of Reference</dc:title>
  <dc:creator>Donna Driscoll</dc:creator>
  <cp:lastModifiedBy>Hannah</cp:lastModifiedBy>
  <cp:revision>5</cp:revision>
  <dcterms:created xsi:type="dcterms:W3CDTF">2014-12-07T16:52:00Z</dcterms:created>
  <dcterms:modified xsi:type="dcterms:W3CDTF">2014-12-29T11:33:00Z</dcterms:modified>
</cp:coreProperties>
</file>